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PURSUANT TO SECTION 13 OR 15(d) OF</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0-24531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120650</wp:posOffset>
            </wp:positionV>
            <wp:extent cx="1149350" cy="763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9350" cy="763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u w:val="single" w:color="auto"/>
          <w:color w:val="auto"/>
        </w:rPr>
        <w:t>CoStar Group, Inc.</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397" w:lineRule="exact"/>
        <w:rPr>
          <w:sz w:val="24"/>
          <w:szCs w:val="24"/>
          <w:color w:val="auto"/>
        </w:rPr>
      </w:pPr>
    </w:p>
    <w:tbl>
      <w:tblPr>
        <w:tblLayout w:type="fixed"/>
        <w:tblInd w:w="680" w:type="dxa"/>
        <w:tblCellMar>
          <w:top w:w="0" w:type="dxa"/>
          <w:left w:w="0" w:type="dxa"/>
          <w:bottom w:w="0" w:type="dxa"/>
          <w:right w:w="0" w:type="dxa"/>
        </w:tblCellMar>
      </w:tblPr>
      <w:tr>
        <w:trPr>
          <w:trHeight w:val="207"/>
        </w:trPr>
        <w:tc>
          <w:tcPr>
            <w:tcW w:w="1820" w:type="dxa"/>
            <w:vAlign w:val="bottom"/>
          </w:tcPr>
          <w:p>
            <w:pPr>
              <w:spacing w:after="0"/>
              <w:rPr>
                <w:sz w:val="17"/>
                <w:szCs w:val="17"/>
                <w:color w:val="auto"/>
              </w:rPr>
            </w:pPr>
          </w:p>
        </w:tc>
        <w:tc>
          <w:tcPr>
            <w:tcW w:w="3660" w:type="dxa"/>
            <w:vAlign w:val="bottom"/>
            <w:gridSpan w:val="2"/>
          </w:tcPr>
          <w:p>
            <w:pPr>
              <w:jc w:val="center"/>
              <w:ind w:right="2940"/>
              <w:spacing w:after="0"/>
              <w:rPr>
                <w:sz w:val="20"/>
                <w:szCs w:val="20"/>
                <w:color w:val="auto"/>
              </w:rPr>
            </w:pPr>
            <w:r>
              <w:rPr>
                <w:rFonts w:ascii="Arial" w:cs="Arial" w:eastAsia="Arial" w:hAnsi="Arial"/>
                <w:sz w:val="18"/>
                <w:szCs w:val="18"/>
                <w:b w:val="1"/>
                <w:bCs w:val="1"/>
                <w:color w:val="auto"/>
                <w:w w:val="91"/>
              </w:rPr>
              <w:t>Delaware</w:t>
            </w:r>
          </w:p>
        </w:tc>
        <w:tc>
          <w:tcPr>
            <w:tcW w:w="370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rPr>
              <w:t>52-2091509</w:t>
            </w:r>
          </w:p>
        </w:tc>
      </w:tr>
      <w:tr>
        <w:trPr>
          <w:trHeight w:val="20"/>
        </w:trPr>
        <w:tc>
          <w:tcPr>
            <w:tcW w:w="18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91"/>
        </w:trPr>
        <w:tc>
          <w:tcPr>
            <w:tcW w:w="5480" w:type="dxa"/>
            <w:vAlign w:val="bottom"/>
            <w:gridSpan w:val="3"/>
          </w:tcPr>
          <w:p>
            <w:pPr>
              <w:jc w:val="center"/>
              <w:ind w:right="110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700" w:type="dxa"/>
            <w:vAlign w:val="bottom"/>
            <w:gridSpan w:val="3"/>
          </w:tcPr>
          <w:p>
            <w:pPr>
              <w:jc w:val="center"/>
              <w:ind w:left="1030"/>
              <w:spacing w:after="0"/>
              <w:rPr>
                <w:sz w:val="20"/>
                <w:szCs w:val="20"/>
                <w:color w:val="auto"/>
              </w:rPr>
            </w:pPr>
            <w:r>
              <w:rPr>
                <w:rFonts w:ascii="Arial" w:cs="Arial" w:eastAsia="Arial" w:hAnsi="Arial"/>
                <w:sz w:val="18"/>
                <w:szCs w:val="18"/>
                <w:i w:val="1"/>
                <w:iCs w:val="1"/>
                <w:color w:val="auto"/>
                <w:w w:val="93"/>
              </w:rPr>
              <w:t>(I.R.S. Employer Identification No.)</w:t>
            </w:r>
          </w:p>
        </w:tc>
      </w:tr>
    </w:tbl>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1331 L Street, NW, Washington, DC 20005</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(zip code)</w:t>
      </w: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(202) 346-6500</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(877) 739-0486</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facsimile number, including area code)</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74" w:lineRule="exact"/>
        <w:rPr>
          <w:sz w:val="24"/>
          <w:szCs w:val="24"/>
          <w:color w:val="auto"/>
        </w:rPr>
      </w:pPr>
    </w:p>
    <w:tbl>
      <w:tblPr>
        <w:tblLayout w:type="fixed"/>
        <w:tblInd w:w="1680" w:type="dxa"/>
        <w:tblCellMar>
          <w:top w:w="0" w:type="dxa"/>
          <w:left w:w="0" w:type="dxa"/>
          <w:bottom w:w="0" w:type="dxa"/>
          <w:right w:w="0" w:type="dxa"/>
        </w:tblCellMar>
      </w:tblPr>
      <w:tr>
        <w:trPr>
          <w:trHeight w:val="207"/>
        </w:trPr>
        <w:tc>
          <w:tcPr>
            <w:tcW w:w="500" w:type="dxa"/>
            <w:vAlign w:val="bottom"/>
          </w:tcPr>
          <w:p>
            <w:pPr>
              <w:spacing w:after="0"/>
              <w:rPr>
                <w:sz w:val="18"/>
                <w:szCs w:val="18"/>
                <w:color w:val="auto"/>
              </w:rPr>
            </w:pPr>
          </w:p>
        </w:tc>
        <w:tc>
          <w:tcPr>
            <w:tcW w:w="4720" w:type="dxa"/>
            <w:vAlign w:val="bottom"/>
            <w:gridSpan w:val="2"/>
          </w:tcPr>
          <w:p>
            <w:pPr>
              <w:jc w:val="center"/>
              <w:ind w:right="3360"/>
              <w:spacing w:after="0"/>
              <w:rPr>
                <w:sz w:val="20"/>
                <w:szCs w:val="20"/>
                <w:color w:val="auto"/>
              </w:rPr>
            </w:pPr>
            <w:r>
              <w:rPr>
                <w:rFonts w:ascii="Arial" w:cs="Arial" w:eastAsia="Arial" w:hAnsi="Arial"/>
                <w:sz w:val="18"/>
                <w:szCs w:val="18"/>
                <w:color w:val="auto"/>
                <w:w w:val="90"/>
              </w:rPr>
              <w:t>Title of Each Class</w:t>
            </w:r>
          </w:p>
        </w:tc>
        <w:tc>
          <w:tcPr>
            <w:tcW w:w="33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5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5220" w:type="dxa"/>
            <w:vAlign w:val="bottom"/>
            <w:gridSpan w:val="3"/>
          </w:tcPr>
          <w:p>
            <w:pPr>
              <w:jc w:val="center"/>
              <w:ind w:right="2860"/>
              <w:spacing w:after="0"/>
              <w:rPr>
                <w:sz w:val="20"/>
                <w:szCs w:val="20"/>
                <w:color w:val="auto"/>
              </w:rPr>
            </w:pPr>
            <w:r>
              <w:rPr>
                <w:rFonts w:ascii="Arial" w:cs="Arial" w:eastAsia="Arial" w:hAnsi="Arial"/>
                <w:sz w:val="18"/>
                <w:szCs w:val="18"/>
                <w:b w:val="1"/>
                <w:bCs w:val="1"/>
                <w:color w:val="auto"/>
                <w:w w:val="90"/>
              </w:rPr>
              <w:t>Common Stock, $.01 par value</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4"/>
              </w:rPr>
              <w:t>NASDAQ Global Select Market</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x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registrant was required to submit and post such files.)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81"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w:t>
      </w:r>
    </w:p>
    <w:p>
      <w:pPr>
        <w:sectPr>
          <w:pgSz w:w="11900" w:h="16838" w:orient="portrait"/>
          <w:cols w:equalWidth="0" w:num="1">
            <w:col w:w="11420"/>
          </w:cols>
          <w:pgMar w:left="240" w:top="684" w:right="239" w:bottom="1" w:gutter="0" w:footer="0" w:header="0"/>
        </w:sectPr>
      </w:pPr>
    </w:p>
    <w:p>
      <w:pPr>
        <w:spacing w:after="0" w:line="309" w:lineRule="exact"/>
        <w:rPr>
          <w:sz w:val="24"/>
          <w:szCs w:val="24"/>
          <w:color w:val="auto"/>
        </w:rPr>
      </w:pPr>
    </w:p>
    <w:p>
      <w:pPr>
        <w:ind w:left="36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3">
            <w:col w:w="5020" w:space="720"/>
            <w:col w:w="1220" w:space="80"/>
            <w:col w:w="4380"/>
          </w:cols>
          <w:pgMar w:left="240" w:top="684" w:right="239" w:bottom="1" w:gutter="0" w:footer="0" w:header="0"/>
          <w:type w:val="continuous"/>
        </w:sectPr>
      </w:pPr>
    </w:p>
    <w:p>
      <w:pPr>
        <w:spacing w:after="0" w:line="20" w:lineRule="exact"/>
        <w:rPr>
          <w:sz w:val="24"/>
          <w:szCs w:val="24"/>
          <w:color w:val="auto"/>
        </w:rPr>
      </w:pPr>
    </w:p>
    <w:p>
      <w:pPr>
        <w:ind w:left="36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1880" w:space="100"/>
            <w:col w:w="3040" w:space="720"/>
            <w:col w:w="1980" w:space="80"/>
            <w:col w:w="3620"/>
          </w:cols>
          <w:pgMar w:left="240" w:top="684" w:right="239" w:bottom="1" w:gutter="0" w:footer="0" w:header="0"/>
          <w:type w:val="continuous"/>
        </w:sectPr>
      </w:pPr>
    </w:p>
    <w:bookmarkStart w:id="1" w:name="page2"/>
    <w:bookmarkEnd w:id="1"/>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5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the closing price of the common stock on June 28, 2013 on the Nasdaq Stock Market, Nasdaq Global Select Market, the aggregate market value of registrant’s common stock held by non-affiliates of the registrant was approximately $3.5 billion.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14, 2014, there were 28,853,559 shares of the registrant’s common stock outstanding.</w:t>
      </w:r>
    </w:p>
    <w:p>
      <w:pPr>
        <w:sectPr>
          <w:pgSz w:w="11900" w:h="16838" w:orient="portrait"/>
          <w:cols w:equalWidth="0" w:num="1">
            <w:col w:w="11420"/>
          </w:cols>
          <w:pgMar w:left="240" w:top="9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Portions of the registrant’s definitive proxy statement, which is expected to be filed with the Securities and Exchange Commission within 120 days after the end of the registrant’s fiscal year ended December 31, 2013, are incorporated by reference into Part III of this Report.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740" w:type="dxa"/>
            <w:vAlign w:val="bottom"/>
            <w:gridSpan w:val="8"/>
          </w:tcPr>
          <w:p>
            <w:pPr>
              <w:ind w:left="1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94"/>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1260" w:type="dxa"/>
            <w:vAlign w:val="bottom"/>
          </w:tcPr>
          <w:p>
            <w:pPr>
              <w:ind w:left="14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FF"/>
            </w:tcBorders>
          </w:tcPr>
          <w:p>
            <w:pPr>
              <w:spacing w:after="0"/>
              <w:rPr>
                <w:rFonts w:ascii="Arial" w:cs="Arial" w:eastAsia="Arial" w:hAnsi="Arial"/>
                <w:sz w:val="18"/>
                <w:szCs w:val="18"/>
                <w:color w:val="0000FF"/>
                <w:w w:val="84"/>
              </w:rPr>
            </w:pPr>
            <w:hyperlink w:anchor="page5">
              <w:r>
                <w:rPr>
                  <w:rFonts w:ascii="Arial" w:cs="Arial" w:eastAsia="Arial" w:hAnsi="Arial"/>
                  <w:sz w:val="18"/>
                  <w:szCs w:val="18"/>
                  <w:color w:val="0000FF"/>
                  <w:w w:val="84"/>
                </w:rPr>
                <w:t>Business</w:t>
              </w:r>
            </w:hyperlink>
          </w:p>
        </w:tc>
        <w:tc>
          <w:tcPr>
            <w:tcW w:w="8420" w:type="dxa"/>
            <w:vAlign w:val="bottom"/>
            <w:gridSpan w:val="17"/>
          </w:tcPr>
          <w:p>
            <w:pPr>
              <w:spacing w:after="0"/>
              <w:rPr>
                <w:sz w:val="19"/>
                <w:szCs w:val="19"/>
                <w:color w:val="auto"/>
              </w:rPr>
            </w:pPr>
          </w:p>
        </w:tc>
        <w:tc>
          <w:tcPr>
            <w:tcW w:w="940" w:type="dxa"/>
            <w:vAlign w:val="bottom"/>
            <w:gridSpan w:val="3"/>
          </w:tcPr>
          <w:p>
            <w:pPr>
              <w:spacing w:after="0"/>
              <w:rPr>
                <w:sz w:val="19"/>
                <w:szCs w:val="19"/>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r>
      <w:tr>
        <w:trPr>
          <w:trHeight w:val="250"/>
        </w:trPr>
        <w:tc>
          <w:tcPr>
            <w:tcW w:w="1260" w:type="dxa"/>
            <w:vAlign w:val="bottom"/>
          </w:tcPr>
          <w:p>
            <w:pPr>
              <w:ind w:left="140"/>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FF"/>
                <w:w w:val="87"/>
              </w:rPr>
            </w:pPr>
            <w:hyperlink w:anchor="page17">
              <w:r>
                <w:rPr>
                  <w:rFonts w:ascii="Arial" w:cs="Arial" w:eastAsia="Arial" w:hAnsi="Arial"/>
                  <w:sz w:val="18"/>
                  <w:szCs w:val="18"/>
                  <w:color w:val="0000FF"/>
                  <w:w w:val="87"/>
                </w:rPr>
                <w:t>Risk Factors</w:t>
              </w:r>
            </w:hyperlink>
          </w:p>
        </w:tc>
        <w:tc>
          <w:tcPr>
            <w:tcW w:w="8160" w:type="dxa"/>
            <w:vAlign w:val="bottom"/>
            <w:gridSpan w:val="15"/>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17</w:t>
              </w:r>
            </w:hyperlink>
          </w:p>
        </w:tc>
      </w:tr>
      <w:tr>
        <w:trPr>
          <w:trHeight w:val="20"/>
        </w:trPr>
        <w:tc>
          <w:tcPr>
            <w:tcW w:w="12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tcPr>
          <w:p>
            <w:pPr>
              <w:ind w:left="140"/>
              <w:spacing w:after="0"/>
              <w:rPr>
                <w:sz w:val="20"/>
                <w:szCs w:val="20"/>
                <w:color w:val="auto"/>
              </w:rPr>
            </w:pPr>
            <w:r>
              <w:rPr>
                <w:rFonts w:ascii="Arial" w:cs="Arial" w:eastAsia="Arial" w:hAnsi="Arial"/>
                <w:sz w:val="18"/>
                <w:szCs w:val="18"/>
                <w:color w:val="auto"/>
              </w:rPr>
              <w:t>Item 1B.</w:t>
            </w:r>
          </w:p>
        </w:tc>
        <w:tc>
          <w:tcPr>
            <w:tcW w:w="2040" w:type="dxa"/>
            <w:vAlign w:val="bottom"/>
            <w:gridSpan w:val="7"/>
          </w:tcPr>
          <w:p>
            <w:pPr>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Unresolved Staff Comments</w:t>
              </w:r>
            </w:hyperlink>
          </w:p>
        </w:tc>
        <w:tc>
          <w:tcPr>
            <w:tcW w:w="7020" w:type="dxa"/>
            <w:vAlign w:val="bottom"/>
            <w:gridSpan w:val="11"/>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27</w:t>
              </w:r>
            </w:hyperlink>
          </w:p>
        </w:tc>
      </w:tr>
      <w:tr>
        <w:trPr>
          <w:trHeight w:val="20"/>
        </w:trPr>
        <w:tc>
          <w:tcPr>
            <w:tcW w:w="12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tcPr>
          <w:p>
            <w:pPr>
              <w:ind w:left="140"/>
              <w:spacing w:after="0"/>
              <w:rPr>
                <w:sz w:val="20"/>
                <w:szCs w:val="20"/>
                <w:color w:val="auto"/>
              </w:rPr>
            </w:pPr>
            <w:r>
              <w:rPr>
                <w:rFonts w:ascii="Arial" w:cs="Arial" w:eastAsia="Arial" w:hAnsi="Arial"/>
                <w:sz w:val="18"/>
                <w:szCs w:val="18"/>
                <w:color w:val="auto"/>
              </w:rPr>
              <w:t>Item 2.</w:t>
            </w:r>
          </w:p>
        </w:tc>
        <w:tc>
          <w:tcPr>
            <w:tcW w:w="2040" w:type="dxa"/>
            <w:vAlign w:val="bottom"/>
            <w:gridSpan w:val="7"/>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Properties</w:t>
              </w:r>
            </w:hyperlink>
          </w:p>
        </w:tc>
        <w:tc>
          <w:tcPr>
            <w:tcW w:w="7020" w:type="dxa"/>
            <w:vAlign w:val="bottom"/>
            <w:gridSpan w:val="11"/>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27</w:t>
              </w:r>
            </w:hyperlink>
          </w:p>
        </w:tc>
      </w:tr>
      <w:tr>
        <w:trPr>
          <w:trHeight w:val="20"/>
        </w:trPr>
        <w:tc>
          <w:tcPr>
            <w:tcW w:w="1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tcPr>
          <w:p>
            <w:pPr>
              <w:ind w:left="140"/>
              <w:spacing w:after="0"/>
              <w:rPr>
                <w:sz w:val="20"/>
                <w:szCs w:val="20"/>
                <w:color w:val="auto"/>
              </w:rPr>
            </w:pPr>
            <w:r>
              <w:rPr>
                <w:rFonts w:ascii="Arial" w:cs="Arial" w:eastAsia="Arial" w:hAnsi="Arial"/>
                <w:sz w:val="18"/>
                <w:szCs w:val="18"/>
                <w:color w:val="auto"/>
              </w:rPr>
              <w:t>Item 3.</w:t>
            </w:r>
          </w:p>
        </w:tc>
        <w:tc>
          <w:tcPr>
            <w:tcW w:w="9060" w:type="dxa"/>
            <w:vAlign w:val="bottom"/>
            <w:gridSpan w:val="18"/>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Legal Proceedings</w:t>
              </w:r>
            </w:hyperlink>
          </w:p>
        </w:tc>
        <w:tc>
          <w:tcPr>
            <w:tcW w:w="1040" w:type="dxa"/>
            <w:vAlign w:val="bottom"/>
            <w:gridSpan w:val="4"/>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27</w:t>
              </w:r>
            </w:hyperlink>
          </w:p>
        </w:tc>
      </w:tr>
      <w:tr>
        <w:trPr>
          <w:trHeight w:val="20"/>
        </w:trPr>
        <w:tc>
          <w:tcPr>
            <w:tcW w:w="12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tcPr>
          <w:p>
            <w:pPr>
              <w:ind w:left="140"/>
              <w:spacing w:after="0"/>
              <w:rPr>
                <w:sz w:val="20"/>
                <w:szCs w:val="20"/>
                <w:color w:val="auto"/>
              </w:rPr>
            </w:pPr>
            <w:r>
              <w:rPr>
                <w:rFonts w:ascii="Arial" w:cs="Arial" w:eastAsia="Arial" w:hAnsi="Arial"/>
                <w:sz w:val="18"/>
                <w:szCs w:val="18"/>
                <w:color w:val="auto"/>
              </w:rPr>
              <w:t>Item 4.</w:t>
            </w:r>
          </w:p>
        </w:tc>
        <w:tc>
          <w:tcPr>
            <w:tcW w:w="9060" w:type="dxa"/>
            <w:vAlign w:val="bottom"/>
            <w:gridSpan w:val="18"/>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Mine Safety Disclosures</w:t>
              </w:r>
            </w:hyperlink>
          </w:p>
        </w:tc>
        <w:tc>
          <w:tcPr>
            <w:tcW w:w="1040" w:type="dxa"/>
            <w:vAlign w:val="bottom"/>
            <w:gridSpan w:val="4"/>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27</w:t>
              </w:r>
            </w:hyperlink>
          </w:p>
        </w:tc>
      </w:tr>
      <w:tr>
        <w:trPr>
          <w:trHeight w:val="561"/>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30"/>
        </w:trPr>
        <w:tc>
          <w:tcPr>
            <w:tcW w:w="1260" w:type="dxa"/>
            <w:vAlign w:val="bottom"/>
          </w:tcPr>
          <w:p>
            <w:pPr>
              <w:ind w:left="140"/>
              <w:spacing w:after="0"/>
              <w:rPr>
                <w:sz w:val="20"/>
                <w:szCs w:val="20"/>
                <w:color w:val="auto"/>
              </w:rPr>
            </w:pPr>
            <w:r>
              <w:rPr>
                <w:rFonts w:ascii="Arial" w:cs="Arial" w:eastAsia="Arial" w:hAnsi="Arial"/>
                <w:sz w:val="18"/>
                <w:szCs w:val="18"/>
                <w:color w:val="auto"/>
              </w:rPr>
              <w:t>Item 5.</w:t>
            </w:r>
          </w:p>
        </w:tc>
        <w:tc>
          <w:tcPr>
            <w:tcW w:w="8280" w:type="dxa"/>
            <w:vAlign w:val="bottom"/>
            <w:gridSpan w:val="17"/>
          </w:tcPr>
          <w:p>
            <w:pPr>
              <w:spacing w:after="0"/>
              <w:rPr>
                <w:rFonts w:ascii="Arial" w:cs="Arial" w:eastAsia="Arial" w:hAnsi="Arial"/>
                <w:sz w:val="18"/>
                <w:szCs w:val="18"/>
                <w:color w:val="0000FF"/>
                <w:w w:val="90"/>
              </w:rPr>
            </w:pPr>
            <w:hyperlink w:anchor="page29">
              <w:r>
                <w:rPr>
                  <w:rFonts w:ascii="Arial" w:cs="Arial" w:eastAsia="Arial" w:hAnsi="Arial"/>
                  <w:sz w:val="18"/>
                  <w:szCs w:val="18"/>
                  <w:color w:val="0000FF"/>
                  <w:w w:val="90"/>
                </w:rPr>
                <w:t>Market for the Registrant’s Common Stock, Related Stockholder Matters and Issuer Purchases of Equity Securities</w:t>
              </w:r>
            </w:hyperlink>
          </w:p>
        </w:tc>
        <w:tc>
          <w:tcPr>
            <w:tcW w:w="780" w:type="dxa"/>
            <w:vAlign w:val="bottom"/>
          </w:tcPr>
          <w:p>
            <w:pPr>
              <w:spacing w:after="0"/>
              <w:rPr>
                <w:sz w:val="19"/>
                <w:szCs w:val="19"/>
                <w:color w:val="auto"/>
              </w:rPr>
            </w:pPr>
          </w:p>
        </w:tc>
        <w:tc>
          <w:tcPr>
            <w:tcW w:w="1040" w:type="dxa"/>
            <w:vAlign w:val="bottom"/>
            <w:gridSpan w:val="4"/>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28</w:t>
              </w:r>
            </w:hyperlink>
          </w:p>
        </w:tc>
      </w:tr>
      <w:tr>
        <w:trPr>
          <w:trHeight w:val="20"/>
        </w:trPr>
        <w:tc>
          <w:tcPr>
            <w:tcW w:w="1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tcPr>
          <w:p>
            <w:pPr>
              <w:ind w:left="140"/>
              <w:spacing w:after="0"/>
              <w:rPr>
                <w:sz w:val="20"/>
                <w:szCs w:val="20"/>
                <w:color w:val="auto"/>
              </w:rPr>
            </w:pPr>
            <w:r>
              <w:rPr>
                <w:rFonts w:ascii="Arial" w:cs="Arial" w:eastAsia="Arial" w:hAnsi="Arial"/>
                <w:sz w:val="18"/>
                <w:szCs w:val="18"/>
                <w:color w:val="auto"/>
              </w:rPr>
              <w:t>Item 6.</w:t>
            </w:r>
          </w:p>
        </w:tc>
        <w:tc>
          <w:tcPr>
            <w:tcW w:w="8280" w:type="dxa"/>
            <w:vAlign w:val="bottom"/>
            <w:gridSpan w:val="17"/>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Selected Consolidated Financial and Operating Data</w:t>
              </w:r>
            </w:hyperlink>
          </w:p>
        </w:tc>
        <w:tc>
          <w:tcPr>
            <w:tcW w:w="780" w:type="dxa"/>
            <w:vAlign w:val="bottom"/>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20"/>
        </w:trPr>
        <w:tc>
          <w:tcPr>
            <w:tcW w:w="12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tcPr>
          <w:p>
            <w:pPr>
              <w:ind w:left="140"/>
              <w:spacing w:after="0"/>
              <w:rPr>
                <w:sz w:val="20"/>
                <w:szCs w:val="20"/>
                <w:color w:val="auto"/>
              </w:rPr>
            </w:pPr>
            <w:r>
              <w:rPr>
                <w:rFonts w:ascii="Arial" w:cs="Arial" w:eastAsia="Arial" w:hAnsi="Arial"/>
                <w:sz w:val="18"/>
                <w:szCs w:val="18"/>
                <w:color w:val="auto"/>
              </w:rPr>
              <w:t>Item 7.</w:t>
            </w:r>
          </w:p>
        </w:tc>
        <w:tc>
          <w:tcPr>
            <w:tcW w:w="6460" w:type="dxa"/>
            <w:vAlign w:val="bottom"/>
            <w:gridSpan w:val="15"/>
          </w:tcPr>
          <w:p>
            <w:pPr>
              <w:spacing w:after="0"/>
              <w:rPr>
                <w:rFonts w:ascii="Arial" w:cs="Arial" w:eastAsia="Arial" w:hAnsi="Arial"/>
                <w:sz w:val="18"/>
                <w:szCs w:val="18"/>
                <w:color w:val="0000FF"/>
                <w:w w:val="90"/>
              </w:rPr>
            </w:pPr>
            <w:hyperlink w:anchor="page31">
              <w:r>
                <w:rPr>
                  <w:rFonts w:ascii="Arial" w:cs="Arial" w:eastAsia="Arial" w:hAnsi="Arial"/>
                  <w:sz w:val="18"/>
                  <w:szCs w:val="18"/>
                  <w:color w:val="0000FF"/>
                  <w:w w:val="90"/>
                </w:rPr>
                <w:t>Management’s Discussion and Analysis of Financial Condition and Results of Operations</w:t>
              </w:r>
            </w:hyperlink>
          </w:p>
        </w:tc>
        <w:tc>
          <w:tcPr>
            <w:tcW w:w="2600" w:type="dxa"/>
            <w:vAlign w:val="bottom"/>
            <w:gridSpan w:val="3"/>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r>
      <w:tr>
        <w:trPr>
          <w:trHeight w:val="20"/>
        </w:trPr>
        <w:tc>
          <w:tcPr>
            <w:tcW w:w="1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tcPr>
          <w:p>
            <w:pPr>
              <w:ind w:left="140"/>
              <w:spacing w:after="0"/>
              <w:rPr>
                <w:sz w:val="20"/>
                <w:szCs w:val="20"/>
                <w:color w:val="auto"/>
              </w:rPr>
            </w:pPr>
            <w:r>
              <w:rPr>
                <w:rFonts w:ascii="Arial" w:cs="Arial" w:eastAsia="Arial" w:hAnsi="Arial"/>
                <w:sz w:val="18"/>
                <w:szCs w:val="18"/>
                <w:color w:val="auto"/>
              </w:rPr>
              <w:t>Item 7A.</w:t>
            </w:r>
          </w:p>
        </w:tc>
        <w:tc>
          <w:tcPr>
            <w:tcW w:w="4300" w:type="dxa"/>
            <w:vAlign w:val="bottom"/>
            <w:gridSpan w:val="13"/>
          </w:tcPr>
          <w:p>
            <w:pPr>
              <w:spacing w:after="0"/>
              <w:rPr>
                <w:rFonts w:ascii="Arial" w:cs="Arial" w:eastAsia="Arial" w:hAnsi="Arial"/>
                <w:sz w:val="18"/>
                <w:szCs w:val="18"/>
                <w:color w:val="0000FF"/>
                <w:w w:val="91"/>
              </w:rPr>
            </w:pPr>
            <w:hyperlink w:anchor="page49">
              <w:r>
                <w:rPr>
                  <w:rFonts w:ascii="Arial" w:cs="Arial" w:eastAsia="Arial" w:hAnsi="Arial"/>
                  <w:sz w:val="18"/>
                  <w:szCs w:val="18"/>
                  <w:color w:val="0000FF"/>
                  <w:w w:val="91"/>
                </w:rPr>
                <w:t>Quantitative and Qualitative Disclosures about Market Risk</w:t>
              </w:r>
            </w:hyperlink>
          </w:p>
        </w:tc>
        <w:tc>
          <w:tcPr>
            <w:tcW w:w="2160" w:type="dxa"/>
            <w:vAlign w:val="bottom"/>
            <w:gridSpan w:val="2"/>
          </w:tcPr>
          <w:p>
            <w:pPr>
              <w:spacing w:after="0"/>
              <w:rPr>
                <w:sz w:val="21"/>
                <w:szCs w:val="21"/>
                <w:color w:val="auto"/>
              </w:rPr>
            </w:pPr>
          </w:p>
        </w:tc>
        <w:tc>
          <w:tcPr>
            <w:tcW w:w="2600" w:type="dxa"/>
            <w:vAlign w:val="bottom"/>
            <w:gridSpan w:val="3"/>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48</w:t>
              </w:r>
            </w:hyperlink>
          </w:p>
        </w:tc>
      </w:tr>
      <w:tr>
        <w:trPr>
          <w:trHeight w:val="20"/>
        </w:trPr>
        <w:tc>
          <w:tcPr>
            <w:tcW w:w="1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tcPr>
          <w:p>
            <w:pPr>
              <w:ind w:left="140"/>
              <w:spacing w:after="0"/>
              <w:rPr>
                <w:sz w:val="20"/>
                <w:szCs w:val="20"/>
                <w:color w:val="auto"/>
              </w:rPr>
            </w:pPr>
            <w:r>
              <w:rPr>
                <w:rFonts w:ascii="Arial" w:cs="Arial" w:eastAsia="Arial" w:hAnsi="Arial"/>
                <w:sz w:val="18"/>
                <w:szCs w:val="18"/>
                <w:color w:val="auto"/>
              </w:rPr>
              <w:t>Item 8.</w:t>
            </w:r>
          </w:p>
        </w:tc>
        <w:tc>
          <w:tcPr>
            <w:tcW w:w="4300" w:type="dxa"/>
            <w:vAlign w:val="bottom"/>
            <w:gridSpan w:val="13"/>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Financial Statements and Supplementary Data</w:t>
              </w:r>
            </w:hyperlink>
          </w:p>
        </w:tc>
        <w:tc>
          <w:tcPr>
            <w:tcW w:w="4760" w:type="dxa"/>
            <w:vAlign w:val="bottom"/>
            <w:gridSpan w:val="5"/>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49</w:t>
              </w:r>
            </w:hyperlink>
          </w:p>
        </w:tc>
      </w:tr>
      <w:tr>
        <w:trPr>
          <w:trHeight w:val="20"/>
        </w:trPr>
        <w:tc>
          <w:tcPr>
            <w:tcW w:w="12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tcPr>
          <w:p>
            <w:pPr>
              <w:ind w:left="140"/>
              <w:spacing w:after="0"/>
              <w:rPr>
                <w:sz w:val="20"/>
                <w:szCs w:val="20"/>
                <w:color w:val="auto"/>
              </w:rPr>
            </w:pPr>
            <w:r>
              <w:rPr>
                <w:rFonts w:ascii="Arial" w:cs="Arial" w:eastAsia="Arial" w:hAnsi="Arial"/>
                <w:sz w:val="18"/>
                <w:szCs w:val="18"/>
                <w:color w:val="auto"/>
              </w:rPr>
              <w:t>Item 9.</w:t>
            </w:r>
          </w:p>
        </w:tc>
        <w:tc>
          <w:tcPr>
            <w:tcW w:w="9060" w:type="dxa"/>
            <w:vAlign w:val="bottom"/>
            <w:gridSpan w:val="18"/>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Changes in and Disagreements with Accountants on Accounting and Financial Disclosure</w:t>
              </w:r>
            </w:hyperlink>
          </w:p>
        </w:tc>
        <w:tc>
          <w:tcPr>
            <w:tcW w:w="1040" w:type="dxa"/>
            <w:vAlign w:val="bottom"/>
            <w:gridSpan w:val="4"/>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49</w:t>
              </w:r>
            </w:hyperlink>
          </w:p>
        </w:tc>
      </w:tr>
      <w:tr>
        <w:trPr>
          <w:trHeight w:val="20"/>
        </w:trPr>
        <w:tc>
          <w:tcPr>
            <w:tcW w:w="1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tcPr>
          <w:p>
            <w:pPr>
              <w:ind w:left="140"/>
              <w:spacing w:after="0"/>
              <w:rPr>
                <w:sz w:val="20"/>
                <w:szCs w:val="20"/>
                <w:color w:val="auto"/>
              </w:rPr>
            </w:pPr>
            <w:r>
              <w:rPr>
                <w:rFonts w:ascii="Arial" w:cs="Arial" w:eastAsia="Arial" w:hAnsi="Arial"/>
                <w:sz w:val="18"/>
                <w:szCs w:val="18"/>
                <w:color w:val="auto"/>
              </w:rPr>
              <w:t>Item 9A.</w:t>
            </w:r>
          </w:p>
        </w:tc>
        <w:tc>
          <w:tcPr>
            <w:tcW w:w="6460" w:type="dxa"/>
            <w:vAlign w:val="bottom"/>
            <w:gridSpan w:val="15"/>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Controls and Procedures</w:t>
              </w:r>
            </w:hyperlink>
          </w:p>
        </w:tc>
        <w:tc>
          <w:tcPr>
            <w:tcW w:w="2600" w:type="dxa"/>
            <w:vAlign w:val="bottom"/>
            <w:gridSpan w:val="3"/>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49</w:t>
              </w:r>
            </w:hyperlink>
          </w:p>
        </w:tc>
      </w:tr>
      <w:tr>
        <w:trPr>
          <w:trHeight w:val="20"/>
        </w:trPr>
        <w:tc>
          <w:tcPr>
            <w:tcW w:w="12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tcPr>
          <w:p>
            <w:pPr>
              <w:ind w:left="140"/>
              <w:spacing w:after="0"/>
              <w:rPr>
                <w:sz w:val="20"/>
                <w:szCs w:val="20"/>
                <w:color w:val="auto"/>
              </w:rPr>
            </w:pPr>
            <w:r>
              <w:rPr>
                <w:rFonts w:ascii="Arial" w:cs="Arial" w:eastAsia="Arial" w:hAnsi="Arial"/>
                <w:sz w:val="18"/>
                <w:szCs w:val="18"/>
                <w:color w:val="auto"/>
              </w:rPr>
              <w:t>Item 9B.</w:t>
            </w:r>
          </w:p>
        </w:tc>
        <w:tc>
          <w:tcPr>
            <w:tcW w:w="1760" w:type="dxa"/>
            <w:vAlign w:val="bottom"/>
            <w:gridSpan w:val="6"/>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Other Information</w:t>
              </w:r>
            </w:hyperlink>
          </w:p>
        </w:tc>
        <w:tc>
          <w:tcPr>
            <w:tcW w:w="7300" w:type="dxa"/>
            <w:vAlign w:val="bottom"/>
            <w:gridSpan w:val="12"/>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50</w:t>
              </w:r>
            </w:hyperlink>
          </w:p>
        </w:tc>
      </w:tr>
      <w:tr>
        <w:trPr>
          <w:trHeight w:val="561"/>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30"/>
        </w:trPr>
        <w:tc>
          <w:tcPr>
            <w:tcW w:w="1260" w:type="dxa"/>
            <w:vAlign w:val="bottom"/>
          </w:tcPr>
          <w:p>
            <w:pPr>
              <w:ind w:left="140"/>
              <w:spacing w:after="0"/>
              <w:rPr>
                <w:sz w:val="20"/>
                <w:szCs w:val="20"/>
                <w:color w:val="auto"/>
              </w:rPr>
            </w:pPr>
            <w:r>
              <w:rPr>
                <w:rFonts w:ascii="Arial" w:cs="Arial" w:eastAsia="Arial" w:hAnsi="Arial"/>
                <w:sz w:val="18"/>
                <w:szCs w:val="18"/>
                <w:color w:val="auto"/>
              </w:rPr>
              <w:t>Item 10.</w:t>
            </w:r>
          </w:p>
        </w:tc>
        <w:tc>
          <w:tcPr>
            <w:tcW w:w="9060" w:type="dxa"/>
            <w:vAlign w:val="bottom"/>
            <w:gridSpan w:val="18"/>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Directors, Executive Officers and Corporate Governance</w:t>
              </w:r>
            </w:hyperlink>
          </w:p>
        </w:tc>
        <w:tc>
          <w:tcPr>
            <w:tcW w:w="1040" w:type="dxa"/>
            <w:vAlign w:val="bottom"/>
            <w:gridSpan w:val="4"/>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51</w:t>
              </w:r>
            </w:hyperlink>
          </w:p>
        </w:tc>
      </w:tr>
      <w:tr>
        <w:trPr>
          <w:trHeight w:val="20"/>
        </w:trPr>
        <w:tc>
          <w:tcPr>
            <w:tcW w:w="1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tcPr>
          <w:p>
            <w:pPr>
              <w:ind w:left="140"/>
              <w:spacing w:after="0"/>
              <w:rPr>
                <w:sz w:val="20"/>
                <w:szCs w:val="20"/>
                <w:color w:val="auto"/>
              </w:rPr>
            </w:pPr>
            <w:r>
              <w:rPr>
                <w:rFonts w:ascii="Arial" w:cs="Arial" w:eastAsia="Arial" w:hAnsi="Arial"/>
                <w:sz w:val="18"/>
                <w:szCs w:val="18"/>
                <w:color w:val="auto"/>
              </w:rPr>
              <w:t>Item 11.</w:t>
            </w:r>
          </w:p>
        </w:tc>
        <w:tc>
          <w:tcPr>
            <w:tcW w:w="1760" w:type="dxa"/>
            <w:vAlign w:val="bottom"/>
            <w:gridSpan w:val="6"/>
          </w:tcPr>
          <w:p>
            <w:pPr>
              <w:spacing w:after="0"/>
              <w:rPr>
                <w:rFonts w:ascii="Arial" w:cs="Arial" w:eastAsia="Arial" w:hAnsi="Arial"/>
                <w:sz w:val="18"/>
                <w:szCs w:val="18"/>
                <w:color w:val="0000FF"/>
                <w:w w:val="86"/>
              </w:rPr>
            </w:pPr>
            <w:hyperlink w:anchor="page52">
              <w:r>
                <w:rPr>
                  <w:rFonts w:ascii="Arial" w:cs="Arial" w:eastAsia="Arial" w:hAnsi="Arial"/>
                  <w:sz w:val="18"/>
                  <w:szCs w:val="18"/>
                  <w:color w:val="0000FF"/>
                  <w:w w:val="86"/>
                </w:rPr>
                <w:t>Executive Compensation</w:t>
              </w:r>
            </w:hyperlink>
          </w:p>
        </w:tc>
        <w:tc>
          <w:tcPr>
            <w:tcW w:w="2320" w:type="dxa"/>
            <w:vAlign w:val="bottom"/>
            <w:gridSpan w:val="6"/>
          </w:tcPr>
          <w:p>
            <w:pPr>
              <w:spacing w:after="0"/>
              <w:rPr>
                <w:sz w:val="21"/>
                <w:szCs w:val="21"/>
                <w:color w:val="auto"/>
              </w:rPr>
            </w:pPr>
          </w:p>
        </w:tc>
        <w:tc>
          <w:tcPr>
            <w:tcW w:w="4980" w:type="dxa"/>
            <w:vAlign w:val="bottom"/>
            <w:gridSpan w:val="6"/>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51</w:t>
              </w:r>
            </w:hyperlink>
          </w:p>
        </w:tc>
      </w:tr>
      <w:tr>
        <w:trPr>
          <w:trHeight w:val="20"/>
        </w:trPr>
        <w:tc>
          <w:tcPr>
            <w:tcW w:w="1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tcPr>
          <w:p>
            <w:pPr>
              <w:ind w:left="140"/>
              <w:spacing w:after="0"/>
              <w:rPr>
                <w:sz w:val="20"/>
                <w:szCs w:val="20"/>
                <w:color w:val="auto"/>
              </w:rPr>
            </w:pPr>
            <w:r>
              <w:rPr>
                <w:rFonts w:ascii="Arial" w:cs="Arial" w:eastAsia="Arial" w:hAnsi="Arial"/>
                <w:sz w:val="18"/>
                <w:szCs w:val="18"/>
                <w:color w:val="auto"/>
              </w:rPr>
              <w:t>Item 12.</w:t>
            </w:r>
          </w:p>
        </w:tc>
        <w:tc>
          <w:tcPr>
            <w:tcW w:w="9060" w:type="dxa"/>
            <w:vAlign w:val="bottom"/>
            <w:gridSpan w:val="18"/>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Security Ownership of Certain Beneficial Owners and Management and Related Stockholder Matters</w:t>
              </w:r>
            </w:hyperlink>
          </w:p>
        </w:tc>
        <w:tc>
          <w:tcPr>
            <w:tcW w:w="1040" w:type="dxa"/>
            <w:vAlign w:val="bottom"/>
            <w:gridSpan w:val="4"/>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51</w:t>
              </w:r>
            </w:hyperlink>
          </w:p>
        </w:tc>
      </w:tr>
      <w:tr>
        <w:trPr>
          <w:trHeight w:val="20"/>
        </w:trPr>
        <w:tc>
          <w:tcPr>
            <w:tcW w:w="1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tcPr>
          <w:p>
            <w:pPr>
              <w:ind w:left="140"/>
              <w:spacing w:after="0"/>
              <w:rPr>
                <w:sz w:val="20"/>
                <w:szCs w:val="20"/>
                <w:color w:val="auto"/>
              </w:rPr>
            </w:pPr>
            <w:r>
              <w:rPr>
                <w:rFonts w:ascii="Arial" w:cs="Arial" w:eastAsia="Arial" w:hAnsi="Arial"/>
                <w:sz w:val="18"/>
                <w:szCs w:val="18"/>
                <w:color w:val="auto"/>
              </w:rPr>
              <w:t>Item 13.</w:t>
            </w:r>
          </w:p>
        </w:tc>
        <w:tc>
          <w:tcPr>
            <w:tcW w:w="7280" w:type="dxa"/>
            <w:vAlign w:val="bottom"/>
            <w:gridSpan w:val="16"/>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Certain Relationships and Related Transactions, and Director Independence</w:t>
              </w:r>
            </w:hyperlink>
          </w:p>
        </w:tc>
        <w:tc>
          <w:tcPr>
            <w:tcW w:w="1780" w:type="dxa"/>
            <w:vAlign w:val="bottom"/>
            <w:gridSpan w:val="2"/>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51</w:t>
              </w:r>
            </w:hyperlink>
          </w:p>
        </w:tc>
      </w:tr>
      <w:tr>
        <w:trPr>
          <w:trHeight w:val="20"/>
        </w:trPr>
        <w:tc>
          <w:tcPr>
            <w:tcW w:w="1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tcPr>
          <w:p>
            <w:pPr>
              <w:ind w:left="140"/>
              <w:spacing w:after="0"/>
              <w:rPr>
                <w:sz w:val="20"/>
                <w:szCs w:val="20"/>
                <w:color w:val="auto"/>
              </w:rPr>
            </w:pPr>
            <w:r>
              <w:rPr>
                <w:rFonts w:ascii="Arial" w:cs="Arial" w:eastAsia="Arial" w:hAnsi="Arial"/>
                <w:sz w:val="18"/>
                <w:szCs w:val="18"/>
                <w:color w:val="auto"/>
              </w:rPr>
              <w:t>Item 14.</w:t>
            </w:r>
          </w:p>
        </w:tc>
        <w:tc>
          <w:tcPr>
            <w:tcW w:w="5440" w:type="dxa"/>
            <w:vAlign w:val="bottom"/>
            <w:gridSpan w:val="14"/>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Principal Accountant Fees and Services</w:t>
              </w:r>
            </w:hyperlink>
          </w:p>
        </w:tc>
        <w:tc>
          <w:tcPr>
            <w:tcW w:w="3620" w:type="dxa"/>
            <w:vAlign w:val="bottom"/>
            <w:gridSpan w:val="4"/>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51</w:t>
              </w:r>
            </w:hyperlink>
          </w:p>
        </w:tc>
      </w:tr>
      <w:tr>
        <w:trPr>
          <w:trHeight w:val="561"/>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30"/>
        </w:trPr>
        <w:tc>
          <w:tcPr>
            <w:tcW w:w="1260" w:type="dxa"/>
            <w:vAlign w:val="bottom"/>
          </w:tcPr>
          <w:p>
            <w:pPr>
              <w:ind w:left="140"/>
              <w:spacing w:after="0"/>
              <w:rPr>
                <w:sz w:val="20"/>
                <w:szCs w:val="20"/>
                <w:color w:val="auto"/>
              </w:rPr>
            </w:pPr>
            <w:r>
              <w:rPr>
                <w:rFonts w:ascii="Arial" w:cs="Arial" w:eastAsia="Arial" w:hAnsi="Arial"/>
                <w:sz w:val="18"/>
                <w:szCs w:val="18"/>
                <w:color w:val="auto"/>
              </w:rPr>
              <w:t>Item 15.</w:t>
            </w:r>
          </w:p>
        </w:tc>
        <w:tc>
          <w:tcPr>
            <w:tcW w:w="3160" w:type="dxa"/>
            <w:vAlign w:val="bottom"/>
            <w:gridSpan w:val="9"/>
          </w:tcPr>
          <w:p>
            <w:pPr>
              <w:spacing w:after="0"/>
              <w:rPr>
                <w:rFonts w:ascii="Arial" w:cs="Arial" w:eastAsia="Arial" w:hAnsi="Arial"/>
                <w:sz w:val="18"/>
                <w:szCs w:val="18"/>
                <w:color w:val="0000FF"/>
                <w:w w:val="88"/>
              </w:rPr>
            </w:pPr>
            <w:hyperlink w:anchor="page53">
              <w:r>
                <w:rPr>
                  <w:rFonts w:ascii="Arial" w:cs="Arial" w:eastAsia="Arial" w:hAnsi="Arial"/>
                  <w:sz w:val="18"/>
                  <w:szCs w:val="18"/>
                  <w:color w:val="0000FF"/>
                  <w:w w:val="88"/>
                </w:rPr>
                <w:t>Exhibits and Financial Statement Schedules</w:t>
              </w:r>
            </w:hyperlink>
          </w:p>
        </w:tc>
        <w:tc>
          <w:tcPr>
            <w:tcW w:w="5900" w:type="dxa"/>
            <w:vAlign w:val="bottom"/>
            <w:gridSpan w:val="9"/>
          </w:tcPr>
          <w:p>
            <w:pPr>
              <w:spacing w:after="0"/>
              <w:rPr>
                <w:sz w:val="19"/>
                <w:szCs w:val="19"/>
                <w:color w:val="auto"/>
              </w:rPr>
            </w:pPr>
          </w:p>
        </w:tc>
        <w:tc>
          <w:tcPr>
            <w:tcW w:w="1040" w:type="dxa"/>
            <w:vAlign w:val="bottom"/>
            <w:gridSpan w:val="4"/>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52</w:t>
              </w:r>
            </w:hyperlink>
          </w:p>
        </w:tc>
      </w:tr>
      <w:tr>
        <w:trPr>
          <w:trHeight w:val="20"/>
        </w:trPr>
        <w:tc>
          <w:tcPr>
            <w:tcW w:w="12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1920" w:type="dxa"/>
            <w:vAlign w:val="bottom"/>
            <w:tcBorders>
              <w:right w:val="single" w:sz="8" w:color="0000FF"/>
            </w:tcBorders>
            <w:gridSpan w:val="5"/>
            <w:shd w:val="clear" w:color="auto" w:fill="0000FF"/>
          </w:tcPr>
          <w:p>
            <w:pPr>
              <w:spacing w:after="0" w:line="20" w:lineRule="exact"/>
              <w:rPr>
                <w:sz w:val="1"/>
                <w:szCs w:val="1"/>
                <w:color w:val="auto"/>
              </w:rPr>
            </w:pPr>
          </w:p>
        </w:tc>
        <w:tc>
          <w:tcPr>
            <w:tcW w:w="590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720" w:type="dxa"/>
            <w:vAlign w:val="bottom"/>
            <w:gridSpan w:val="2"/>
          </w:tcPr>
          <w:p>
            <w:pPr>
              <w:spacing w:after="0"/>
              <w:rPr>
                <w:rFonts w:ascii="Arial" w:cs="Arial" w:eastAsia="Arial" w:hAnsi="Arial"/>
                <w:sz w:val="18"/>
                <w:szCs w:val="18"/>
                <w:color w:val="0000FF"/>
                <w:w w:val="78"/>
              </w:rPr>
            </w:pPr>
            <w:hyperlink w:anchor="page53">
              <w:r>
                <w:rPr>
                  <w:rFonts w:ascii="Arial" w:cs="Arial" w:eastAsia="Arial" w:hAnsi="Arial"/>
                  <w:sz w:val="18"/>
                  <w:szCs w:val="18"/>
                  <w:color w:val="0000FF"/>
                  <w:w w:val="78"/>
                </w:rPr>
                <w:t>Signatures</w:t>
              </w:r>
            </w:hyperlink>
          </w:p>
        </w:tc>
        <w:tc>
          <w:tcPr>
            <w:tcW w:w="2440" w:type="dxa"/>
            <w:vAlign w:val="bottom"/>
            <w:gridSpan w:val="7"/>
          </w:tcPr>
          <w:p>
            <w:pPr>
              <w:spacing w:after="0"/>
              <w:rPr>
                <w:sz w:val="21"/>
                <w:szCs w:val="21"/>
                <w:color w:val="auto"/>
              </w:rPr>
            </w:pPr>
          </w:p>
        </w:tc>
        <w:tc>
          <w:tcPr>
            <w:tcW w:w="5900" w:type="dxa"/>
            <w:vAlign w:val="bottom"/>
            <w:gridSpan w:val="9"/>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53</w:t>
              </w:r>
            </w:hyperlink>
          </w:p>
        </w:tc>
      </w:tr>
      <w:tr>
        <w:trPr>
          <w:trHeight w:val="20"/>
        </w:trPr>
        <w:tc>
          <w:tcPr>
            <w:tcW w:w="1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240" w:type="dxa"/>
            <w:vAlign w:val="bottom"/>
            <w:gridSpan w:val="4"/>
          </w:tcPr>
          <w:p>
            <w:pPr>
              <w:spacing w:after="0"/>
              <w:rPr>
                <w:rFonts w:ascii="Arial" w:cs="Arial" w:eastAsia="Arial" w:hAnsi="Arial"/>
                <w:sz w:val="18"/>
                <w:szCs w:val="18"/>
                <w:color w:val="0000FF"/>
                <w:w w:val="92"/>
              </w:rPr>
            </w:pPr>
            <w:hyperlink w:anchor="page55">
              <w:r>
                <w:rPr>
                  <w:rFonts w:ascii="Arial" w:cs="Arial" w:eastAsia="Arial" w:hAnsi="Arial"/>
                  <w:sz w:val="18"/>
                  <w:szCs w:val="18"/>
                  <w:color w:val="0000FF"/>
                  <w:w w:val="92"/>
                </w:rPr>
                <w:t>Index to Exhibits</w:t>
              </w:r>
            </w:hyperlink>
          </w:p>
        </w:tc>
        <w:tc>
          <w:tcPr>
            <w:tcW w:w="7820" w:type="dxa"/>
            <w:vAlign w:val="bottom"/>
            <w:gridSpan w:val="14"/>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55</w:t>
              </w:r>
            </w:hyperlink>
          </w:p>
        </w:tc>
      </w:tr>
      <w:tr>
        <w:trPr>
          <w:trHeight w:val="20"/>
        </w:trPr>
        <w:tc>
          <w:tcPr>
            <w:tcW w:w="1260" w:type="dxa"/>
            <w:vAlign w:val="bottom"/>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590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316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57">
              <w:r>
                <w:rPr>
                  <w:rFonts w:ascii="Arial" w:cs="Arial" w:eastAsia="Arial" w:hAnsi="Arial"/>
                  <w:sz w:val="18"/>
                  <w:szCs w:val="18"/>
                  <w:color w:val="0000FF"/>
                  <w:w w:val="89"/>
                </w:rPr>
                <w:t>Index to Consolidated Financial Statements</w:t>
              </w:r>
            </w:hyperlink>
          </w:p>
        </w:tc>
        <w:tc>
          <w:tcPr>
            <w:tcW w:w="5900" w:type="dxa"/>
            <w:vAlign w:val="bottom"/>
            <w:gridSpan w:val="9"/>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88"/>
              </w:rPr>
            </w:pPr>
            <w:hyperlink w:anchor="page57">
              <w:r>
                <w:rPr>
                  <w:rFonts w:ascii="Arial" w:cs="Arial" w:eastAsia="Arial" w:hAnsi="Arial"/>
                  <w:sz w:val="18"/>
                  <w:szCs w:val="18"/>
                  <w:color w:val="0000FF"/>
                  <w:w w:val="88"/>
                </w:rPr>
                <w:t>F-1</w:t>
              </w:r>
            </w:hyperlink>
          </w:p>
        </w:tc>
      </w:tr>
      <w:tr>
        <w:trPr>
          <w:trHeight w:val="507"/>
        </w:trPr>
        <w:tc>
          <w:tcPr>
            <w:tcW w:w="1260" w:type="dxa"/>
            <w:vAlign w:val="bottom"/>
          </w:tcPr>
          <w:p>
            <w:pPr>
              <w:spacing w:after="0"/>
              <w:rPr>
                <w:sz w:val="24"/>
                <w:szCs w:val="24"/>
                <w:color w:val="auto"/>
              </w:rPr>
            </w:pPr>
          </w:p>
        </w:tc>
        <w:tc>
          <w:tcPr>
            <w:tcW w:w="5440" w:type="dxa"/>
            <w:vAlign w:val="bottom"/>
            <w:gridSpan w:val="14"/>
          </w:tcPr>
          <w:p>
            <w:pPr>
              <w:ind w:left="4360"/>
              <w:spacing w:after="0"/>
              <w:rPr>
                <w:sz w:val="20"/>
                <w:szCs w:val="20"/>
                <w:color w:val="auto"/>
              </w:rPr>
            </w:pPr>
            <w:r>
              <w:rPr>
                <w:rFonts w:ascii="Arial" w:cs="Arial" w:eastAsia="Arial" w:hAnsi="Arial"/>
                <w:sz w:val="18"/>
                <w:szCs w:val="18"/>
                <w:color w:val="auto"/>
              </w:rPr>
              <w:t>3</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80" w:top="580"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this report, the words “we,” “our,” “us,” “CoStar” or the “Company” refer to CoStar Group, Inc. and its direct and indirect wholly owned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report also refers to our websites, but information contained on those sites is not part of this report.</w:t>
      </w:r>
    </w:p>
    <w:p>
      <w:pPr>
        <w:spacing w:after="0" w:line="21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CoStar Group, Inc., a Delaware corporation, founded in 1987, is the number one provider of information, analytics and marketing services to the commercial real estate industry in the United States ("U.S.") and United Kingdom ("U.K.") based on the fact that we offer the most comprehensive commercial real estate database available; have the largest research department in the industry; own and operate the leading online marketplace for commercial real estate in the U.S. based on the number of unique visitors per month; provide more information, analytics and marketing services than any of our competitors and believe that we generate more revenues than any of our competitors. We have created and compiled our standardized information, analytics and marketing platform where members of the commercial real estate and related business community can continuously interact and facilitate transactions by efficiently exchanging accurate and standardized commercial real estate information. Our service offerings span all commercial property types, including office, industrial, retail, land, mixed-use, hospitality and multifamily. We manage our business geographically in two operating segments, with our primary areas of measurement and decision-making being the U.S. and International, which includes the U.K. and France.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Since our founding, our strategy has been to provide commercial real estate professionals with critical knowledge to explore and complete transactions by offering the most comprehensive, timely and standardized information on U.S. commercial real estate. We have extended our offering of comprehensive commercial real estate information to include London and other parts of the U.K. and parts of France, through acquisitions and internal growth and development. Information about CoStar’s revenues from, and long-lived assets and total assets located in, foreign countries is included in Notes 2 and 12 of the Notes to Consolidated Financial Statements included in this Annual Report on Form 10-K. The revenues; net income before interest, income taxes, depreciation and amortization ("EBITDA"); and total assets and liabilities for each of our segments are set forth in Note 12 to our consolidated financial statements. Information about risks associated with our foreign operations is included in "Item 1A. Risk Factors" and “Item 7A. Quantitative and Qualitative Disclosures about Market Risk.”</w:t>
      </w:r>
    </w:p>
    <w:p>
      <w:pPr>
        <w:spacing w:after="0" w:line="19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deliver our content to our U.S. customers primarily via an integrated suite of online service offerings that includes information about space available for lease, tenant information, comparable sales information, information about properties for sale, internet marketing services, analytical capabilities, information for clients’ websites, information about industry professionals and their business relationships, data integration and industry news. LoopNet, our subsidiary, operates an online marketplace that enables property owners, landlords, and commercial real estate agents working on their behalf to list properties for sale or for lease and to submit detailed information about property listings. Commercial real estate agents, buyers and tenants also use LoopNet's online marketplace to search for available property listings that meet their criteria. We also provide market research and analysis for commercial real estate investors and lenders via our Property and Portfolio Research (“PPR”) service offerings, portfolio and debt management and reporting capabilities through our Resolve Technology service offerings; and real estate and lease management solutions, including lease administration and abstraction services, through our Virtual Premise service offerings. We have created and are continually improving our standardized information, analytics and marketing platform where members of the commercial real estate and related business community can continuously interact and facilitate transactions by efficiently exchanging accurate and standardized commercial real estate information.</w:t>
      </w:r>
    </w:p>
    <w:p>
      <w:pPr>
        <w:spacing w:after="0" w:line="1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standardized platform includes the most comprehensive proprietary database in the industry; the largest research department in the industry; proprietary data collection, information management and quality control systems; a large in-house product development team; a broad suite of web-based information, analytics and marketing services; a large team of analysts and economists; and a large base of clients. Our database has been developed and enhanced for more than 26 years by a research department that makes thousands of daily database updates. In addition to our internal efforts to grow the database, we have obtained and assimilated approximately 80 proprietary databases.</w:t>
      </w:r>
    </w:p>
    <w:p>
      <w:pPr>
        <w:spacing w:after="0" w:line="18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6"/>
          <w:szCs w:val="16"/>
          <w:color w:val="auto"/>
        </w:rPr>
        <w:t>Our subscription-based information services consist primarily of CoStar Suite</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and FOCUS</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services. CoStar Suite is sold as a platform of service offerings consisting of CoStar Property Professional®, CoStar COMPS Professional® and CoStar Tenant® and through our mobile application, CoStarGo®. CoStar Suite is our primary service offering in the U.S. operating segment. FOCUS is our primary service offering in the International operating segment. Additionally, we introduced CoStar Suite in the U.K. in the fourth quarter of 2012 and no longer offered FOCUS to new clients beginning in 2013.</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5" w:name="page6"/>
    <w:bookmarkEnd w:id="5"/>
    <w:p>
      <w:pPr>
        <w:jc w:val="both"/>
        <w:ind w:firstLine="324"/>
        <w:spacing w:after="0" w:line="272" w:lineRule="auto"/>
        <w:rPr>
          <w:sz w:val="20"/>
          <w:szCs w:val="20"/>
          <w:color w:val="auto"/>
        </w:rPr>
      </w:pPr>
      <w:r>
        <w:rPr>
          <w:rFonts w:ascii="Arial" w:cs="Arial" w:eastAsia="Arial" w:hAnsi="Arial"/>
          <w:sz w:val="17"/>
          <w:szCs w:val="17"/>
          <w:color w:val="auto"/>
        </w:rPr>
        <w:t>Our subscription-based services consist primarily of similar services offered over the Internet to commercial real estate industry and related professionals. Our services are typically distributed to our clients under subscription-based license agreements that renew automatically, a majority of which have a term of one year. Upon renewal, many of the subscription contract rates may change in accordance with contract provisions or as a result of contract renegotiations. To encourage clients to use our services regularly, we generally charge a fixed monthly amount for our subscription-based information services rather than charging fees based on actual system usage. Contract rates are generally based on the number of sites, number of users, organization size, the client's business focus, geography and the number of services to which a client subscribes. Our subscription clients generally pay contract fees on a monthly basis, but in some cases may pay us on a quarterly or annual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Expansion and Growth</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Acquisitions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continually expanded the geographical coverage of our existing information services and developed new information, analytics and marketing services. In addition to internal growth, we have grown our business through strategic acquisitions.</w:t>
      </w:r>
    </w:p>
    <w:p>
      <w:pPr>
        <w:spacing w:after="0" w:line="17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Historically, our expansion includes the acquisitions of Chicago ReSource in Chicago in 1996 and New Market Systems in San Francisco in 1997. In August 1998, we expanded into the Houston region through the acquisition of Houston-based real estate information provider C Data Services In January 1999, we expanded further into the Midwest and Florida by acquiring LeaseTrend and into Atlanta and Dallas/Fort Worth by acquiring Jamison Research. In February 2000, we acquired COMPS.COM, a San Diego-based provider of commercial real estate information. In November 2000, we acquired First Image Technologies, a California-based provider of commercial real estate software. In September 2002, we expanded further into Portland, Oregon through the acquisition of certain assets of Napier Realty Advisors (doing business as REAL-NET). In January 2003, we established a base in the U.K. with our acquisition of London-based FOCUS Information Limited. In May 2004, we expanded into Tennessee through the acquisition of Peer Market Research, and in June 2004, we extended our coverage of the U.K. through the acquisition of Scottish Property Network. In September 2004, we strengthened our position in Denver, Colorado through the acquisition of substantially all of the assets of RealComp, a local comparable sales information provider.</w:t>
      </w:r>
    </w:p>
    <w:p>
      <w:pPr>
        <w:spacing w:after="0" w:line="16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January 2005, we acquired National Research Bureau, a Connecticut-based provider of U.S. shopping center information. In December 2006, our U.K. subsidiary, CoStar Limited, acquired Grecam S.A.S. (“Grecam”), a provider of commercial property information and market-level surveys, studies and consulting services located in Paris, France. In February 2007, CoStar Limited also acquired Property Investment Exchange Limited (“Propex”), a provider of commercial property information and operator of an electronic platform that facilitates the exchange of investment property located in London, England. In April 2008, we acquired the assets of First CLS (doing business as the Dorey Companies and DoreyPRO), an Atlanta-based provider of local commercial real estate information. In July 2009, we acquired Massachusetts-based PPR, a provider of real estate analysis, market forecasts and credit risk analytics to the commercial real estate industry, and its wholly owned U.K. subsidiary Property and Portfolio Research Ltd., and in October 2009, we acquired Massachusetts-based Resolve Technology, a provider of business intelligence and portfolio management software serving the institutional real estate investment industry. In October 2011, we acquired Virtual Premise, a Software as a Service, or on-demand software provider of real estate and lease management solutions located in Atlanta, Georgia. More recently, on April 30, 2012, we completed the acquisition of LoopNet, an online marketplace that enables property owners, landlords, and commercial real estate agents working on their behalf to list properties for sale or for lease and to submit detailed information about property listings.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Development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expect to continue software development to improve existing services, introduce new services, integrate products and services, cross-sell existing services, and expand and develop supporting technologies for our research, sales and marketing organizations. We are committed to supporting and improving our existing core information, news, analytic and marketing services.</w:t>
      </w:r>
    </w:p>
    <w:p>
      <w:pPr>
        <w:spacing w:after="0" w:line="181" w:lineRule="exact"/>
        <w:rPr>
          <w:sz w:val="20"/>
          <w:szCs w:val="20"/>
          <w:color w:val="auto"/>
        </w:rPr>
      </w:pPr>
    </w:p>
    <w:p>
      <w:pPr>
        <w:jc w:val="both"/>
        <w:ind w:firstLine="324"/>
        <w:spacing w:after="0" w:line="230" w:lineRule="auto"/>
        <w:rPr>
          <w:sz w:val="20"/>
          <w:szCs w:val="20"/>
          <w:color w:val="auto"/>
        </w:rPr>
      </w:pPr>
      <w:r>
        <w:rPr>
          <w:rFonts w:ascii="Arial" w:cs="Arial" w:eastAsia="Arial" w:hAnsi="Arial"/>
          <w:sz w:val="17"/>
          <w:szCs w:val="17"/>
          <w:color w:val="auto"/>
        </w:rPr>
        <w:t>In October 2013, we introduced technology enhancements to CoStar Suite, our platform of service offerings consisting of CoStar Property Professional, CoStar COMPS Professional and CoStar Tenant. The enhancements improve Costar Suite's user interface, search functionality and analytic capabilities. The newly introduced CoStar Multifamily</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information search allows access to our extensive multifamily property database. In addition, we introduced CoStar Lease Analysis</w:t>
      </w:r>
      <w:r>
        <w:rPr>
          <w:rFonts w:ascii="Arial" w:cs="Arial" w:eastAsia="Arial" w:hAnsi="Arial"/>
          <w:sz w:val="24"/>
          <w:szCs w:val="24"/>
          <w:color w:val="auto"/>
          <w:vertAlign w:val="superscript"/>
        </w:rPr>
        <w:t>TM</w:t>
      </w:r>
      <w:r>
        <w:rPr>
          <w:rFonts w:ascii="Arial" w:cs="Arial" w:eastAsia="Arial" w:hAnsi="Arial"/>
          <w:sz w:val="17"/>
          <w:szCs w:val="17"/>
          <w:color w:val="auto"/>
        </w:rPr>
        <w:t>, an integrated workflow tool that provides users a simple way to produce understandable cash flows for any proposed or existing lease. We expect to continue software development on our new Lease Analysis workflow tool throughout 2014.</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6" w:name="page7"/>
    <w:bookmarkEnd w:id="6"/>
    <w:p>
      <w:pPr>
        <w:jc w:val="both"/>
        <w:ind w:firstLine="324"/>
        <w:spacing w:after="0" w:line="312" w:lineRule="auto"/>
        <w:rPr>
          <w:sz w:val="20"/>
          <w:szCs w:val="20"/>
          <w:color w:val="auto"/>
        </w:rPr>
      </w:pPr>
      <w:r>
        <w:rPr>
          <w:rFonts w:ascii="Arial" w:cs="Arial" w:eastAsia="Arial" w:hAnsi="Arial"/>
          <w:sz w:val="16"/>
          <w:szCs w:val="16"/>
          <w:color w:val="auto"/>
        </w:rPr>
        <w:t>Further, in October 2013, we released CoStarGo® 2.0, the next generation of our mobile application, which was launched in the U.S. on August 15, 2011 and introduced in the U.K. on November 5, 2012. CoStarGo is our iPad application that integrates and provides CoStar Suite subscribers mobile access to our comprehensive property, tenant and comparable sales information. CoStarGo 2.0 adds powerful analytic capabilities to our comprehensive mobile solution.</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introduced enhancements to our flagship marketing platform, LoopNet.com. For example, we added a broker advertising service that allows brokers to purchase advertisements based on geographic and property type criteria. Additionally, we introduced ProVideo, a service that enables owners and brokers to enhance their listings with high quality videos of interior spaces, amenities and exterior features. We expect to continue software development to improve the LoopNet marketing platform in 2014.</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continue to integrate, develop and cross-sell the services offered by the companies we acquired most recently, including LoopNet, Virtual Premise, Resolve Technology and PPR. In some cases, when integrating and coordinating our services and assessing industry needs, we may decide, or may have previously decided, to combine, shift focus from, de-emphasize, phase out, or eliminate a service that overlaps or is redundant with other services we offer.</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International Expansion and Development</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continue to integrate our international operations more fully with those in the U.S. As part of our integration efforts, in 2007 we introduced “CoStar Group” as the brand encompassing our international operations, and in early 2010 we launched Showcase, our internet marketing service that provides commercial real estate professionals high quality internet lead generation, in the U.K. In addition, we intend to continue to upgrade the platform of services and expand the coverage of our service offerings within our International segment. To further develop those initiatives, we introduced CoStar Suite in the U.K. during the fourth quarter of 2012 and no longer offered FOCUS to new clients beginning in 2013. CoStar Suite is sold as a consistent international platform of service offerings consisting of CoStar Property Professional, CoStar COMPS Professional and CoStar Tenant and through the Company's mobile application, CoStarGo. CoStarGo 2.0 was released in the U.K. in October 2013 simultaneous with the release in the U.S. Additionally, we have upgraded our back-end research operations, fulfillment and Customer Relationship Management (“CRM”) systems to support these new U.K. services. In order to implement these services in the U.K., we incurred increased development costs through 2012; however, development costs incurred by the International segment decreased in 2013. The International operating segment continues to experience improved financial performance and most recently, during the three months ended December 31, 2013, International EBITDA increased to a positive amount as a result of increased revenue and decreased operating expenses.</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2014, we expect to expand further internationally by offering our services in Toronto, Canada. We believe that our integration efforts and continued investments in our services, including expansion of our existing service offerings internationally, have created a platform for long-term revenue growth. We expect these investments to result in further penetration of our international subscription-based information services and the successful cross-selling of our services to customers in existing markets.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market for commercial real estate information and analysis is vast based on the variety, volume and value of transactions related to commercial real estate. Each transaction has multiple participants and multiple information requirements, and in order to facilitate transactions, industry participants must have extensive, accurate and current information and analysis. Members of the commercial real estate and related business community require daily access to current data such as space availability, properties for sale, rental rates, vacancy rates, tenant movements, sales comparables, supply, new construction, absorption rates and other important market developments to carry out their businesses effectively. Market research (including historical and forecast conditions) and applied analytics have also become instrumental to the success of commercial real estate industry participants operating in the current economic environment. There is a strong need for an efficient marketplace, where commercial real estate professionals can exchange information, evaluate opportunities using standardized data and interpretive analyses, and interact with each other on a continuous basis.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7" w:name="page8"/>
    <w:bookmarkEnd w:id="7"/>
    <w:p>
      <w:pPr>
        <w:jc w:val="both"/>
        <w:ind w:firstLine="324"/>
        <w:spacing w:after="0" w:line="277" w:lineRule="auto"/>
        <w:rPr>
          <w:sz w:val="20"/>
          <w:szCs w:val="20"/>
          <w:color w:val="auto"/>
        </w:rPr>
      </w:pPr>
      <w:r>
        <w:rPr>
          <w:rFonts w:ascii="Arial" w:cs="Arial" w:eastAsia="Arial" w:hAnsi="Arial"/>
          <w:sz w:val="18"/>
          <w:szCs w:val="18"/>
          <w:color w:val="auto"/>
        </w:rPr>
        <w:t>A large number of parties involved in the commercial real estate and related business community make use of the services we provide in order to obtain information they need to conduct their businesses, including:</w:t>
      </w:r>
    </w:p>
    <w:p>
      <w:pPr>
        <w:spacing w:after="0" w:line="116" w:lineRule="exact"/>
        <w:rPr>
          <w:sz w:val="20"/>
          <w:szCs w:val="20"/>
          <w:color w:val="auto"/>
        </w:rPr>
      </w:pPr>
    </w:p>
    <w:tbl>
      <w:tblPr>
        <w:tblLayout w:type="fixed"/>
        <w:tblInd w:w="2840" w:type="dxa"/>
        <w:tblCellMar>
          <w:top w:w="0" w:type="dxa"/>
          <w:left w:w="0" w:type="dxa"/>
          <w:bottom w:w="0" w:type="dxa"/>
          <w:right w:w="0" w:type="dxa"/>
        </w:tblCellMar>
      </w:tblP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  Sales and leasing brokers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Government agencies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Property owners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w w:val="89"/>
              </w:rPr>
              <w:t>Mortgage-backed security issuers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Property managers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Appraisers</w:t>
            </w:r>
          </w:p>
        </w:tc>
      </w:tr>
      <w:tr>
        <w:trPr>
          <w:trHeight w:val="270"/>
        </w:trPr>
        <w:tc>
          <w:tcPr>
            <w:tcW w:w="3040" w:type="dxa"/>
            <w:vAlign w:val="bottom"/>
            <w:gridSpan w:val="2"/>
          </w:tcPr>
          <w:p>
            <w:pPr>
              <w:spacing w:after="0"/>
              <w:rPr>
                <w:sz w:val="20"/>
                <w:szCs w:val="20"/>
                <w:color w:val="auto"/>
              </w:rPr>
            </w:pPr>
            <w:r>
              <w:rPr>
                <w:rFonts w:ascii="Arial" w:cs="Arial" w:eastAsia="Arial" w:hAnsi="Arial"/>
                <w:sz w:val="18"/>
                <w:szCs w:val="18"/>
                <w:color w:val="auto"/>
                <w:w w:val="94"/>
              </w:rPr>
              <w:t>•  Design and construction professionals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Pension fund managers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Real estate developers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Reporters</w:t>
            </w:r>
          </w:p>
        </w:tc>
      </w:tr>
      <w:tr>
        <w:trPr>
          <w:trHeight w:val="270"/>
        </w:trPr>
        <w:tc>
          <w:tcPr>
            <w:tcW w:w="3040" w:type="dxa"/>
            <w:vAlign w:val="bottom"/>
            <w:gridSpan w:val="2"/>
          </w:tcPr>
          <w:p>
            <w:pPr>
              <w:spacing w:after="0"/>
              <w:rPr>
                <w:sz w:val="20"/>
                <w:szCs w:val="20"/>
                <w:color w:val="auto"/>
              </w:rPr>
            </w:pPr>
            <w:r>
              <w:rPr>
                <w:rFonts w:ascii="Arial" w:cs="Arial" w:eastAsia="Arial" w:hAnsi="Arial"/>
                <w:sz w:val="18"/>
                <w:szCs w:val="18"/>
                <w:color w:val="auto"/>
                <w:w w:val="93"/>
              </w:rPr>
              <w:t>•  Real estate investment trust managers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Tenant vendors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Investment bankers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Building services vendors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Commercial bankers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Communications providers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Mortgage bankers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w w:val="92"/>
              </w:rPr>
              <w:t>Insurance companies’ managers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Mortgage brokers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Institutional advisors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Retailers</w:t>
            </w: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rPr>
              <w:t>•  Investors and asset managers</w:t>
            </w:r>
          </w:p>
        </w:tc>
      </w:tr>
    </w:tbl>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commercial real estate and related business community generally has operated in an inefficient marketplace because of the fragmented approach to gathering and exchanging information within the marketplace. Various organizations, including hundreds of brokerage firms, directory publishers and local research companies, collect data on specific markets and develop software to analyze the information they have independently gathered. This highly fragmented methodology has resulted in duplication of effort in the collection and analysis of information, excessive internal cost and the creation of non-standardized data containing varying degrees of accuracy and comprehensiveness, resulting in a formidable information gap.</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creation of a standardized information platform for commercial real estate requires an infrastructure including a standardized database, accurate and comprehensive research capabilities, experienced analysts, easy to use technology and intensive participant interaction. By combining our extensive database, approximately 1,123 researchers and outside contractors, our experienced team of analysts and economists, technological expertise and broad customer base, we believe that we have created such a platform.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CoStar’s Comprehensive Database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CoStar has spent more than 26 years building and acquiring a database of commercial real estate information, which includes information on leasing, sales, comparable sales, tenants, and demand statistics, as well as digital images.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January 31, 2014, our database of real estate information covered the U.S., London, England and other parts of the U.K., and contained information about:</w:t>
      </w:r>
    </w:p>
    <w:p>
      <w:pPr>
        <w:spacing w:after="0" w:line="170" w:lineRule="exact"/>
        <w:rPr>
          <w:sz w:val="20"/>
          <w:szCs w:val="20"/>
          <w:color w:val="auto"/>
        </w:rPr>
      </w:pPr>
    </w:p>
    <w:p>
      <w:pPr>
        <w:ind w:left="820" w:hanging="32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Approximately 1.5 million sale and lease listings;</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Approximately 4.3 million total properties;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Approximately 8.6 billion square feet of sale and lease listings;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Approximately 5.7 million tenants;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Approximately 2.1 million sales transactions valued in the aggregate at approximately $5.0 trillion;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Approximately 15.3 million digital attachments, including building photographs, aerial photographs, plat maps and floor plans.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8" w:name="page9"/>
    <w:bookmarkEnd w:id="8"/>
    <w:p>
      <w:pPr>
        <w:ind w:left="340"/>
        <w:spacing w:after="0"/>
        <w:rPr>
          <w:sz w:val="20"/>
          <w:szCs w:val="20"/>
          <w:color w:val="auto"/>
        </w:rPr>
      </w:pPr>
      <w:r>
        <w:rPr>
          <w:rFonts w:ascii="Arial" w:cs="Arial" w:eastAsia="Arial" w:hAnsi="Arial"/>
          <w:sz w:val="18"/>
          <w:szCs w:val="18"/>
          <w:color w:val="auto"/>
        </w:rPr>
        <w:t>This highly complex database is comprised of hundreds of data fields, tracking such categories as:</w:t>
      </w:r>
    </w:p>
    <w:p>
      <w:pPr>
        <w:spacing w:after="0" w:line="171" w:lineRule="exact"/>
        <w:rPr>
          <w:sz w:val="20"/>
          <w:szCs w:val="20"/>
          <w:color w:val="auto"/>
        </w:rPr>
      </w:pPr>
    </w:p>
    <w:tbl>
      <w:tblPr>
        <w:tblLayout w:type="fixed"/>
        <w:tblInd w:w="2720" w:type="dxa"/>
        <w:tblCellMar>
          <w:top w:w="0" w:type="dxa"/>
          <w:left w:w="0" w:type="dxa"/>
          <w:bottom w:w="0" w:type="dxa"/>
          <w:right w:w="0" w:type="dxa"/>
        </w:tblCellMar>
      </w:tblPr>
      <w:tr>
        <w:trPr>
          <w:trHeight w:val="230"/>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540" w:type="dxa"/>
            <w:vAlign w:val="bottom"/>
          </w:tcPr>
          <w:p>
            <w:pPr>
              <w:ind w:left="60"/>
              <w:spacing w:after="0"/>
              <w:rPr>
                <w:sz w:val="20"/>
                <w:szCs w:val="20"/>
                <w:color w:val="auto"/>
              </w:rPr>
            </w:pPr>
            <w:r>
              <w:rPr>
                <w:rFonts w:ascii="Arial" w:cs="Arial" w:eastAsia="Arial" w:hAnsi="Arial"/>
                <w:sz w:val="18"/>
                <w:szCs w:val="18"/>
                <w:color w:val="auto"/>
              </w:rPr>
              <w:t>Location</w:t>
            </w:r>
          </w:p>
        </w:tc>
        <w:tc>
          <w:tcPr>
            <w:tcW w:w="2880" w:type="dxa"/>
            <w:vAlign w:val="bottom"/>
            <w:gridSpan w:val="2"/>
          </w:tcPr>
          <w:p>
            <w:pPr>
              <w:ind w:left="440"/>
              <w:spacing w:after="0"/>
              <w:rPr>
                <w:sz w:val="20"/>
                <w:szCs w:val="20"/>
                <w:color w:val="auto"/>
              </w:rPr>
            </w:pPr>
            <w:r>
              <w:rPr>
                <w:rFonts w:ascii="Arial" w:cs="Arial" w:eastAsia="Arial" w:hAnsi="Arial"/>
                <w:sz w:val="18"/>
                <w:szCs w:val="18"/>
                <w:color w:val="auto"/>
                <w:w w:val="92"/>
              </w:rPr>
              <w:t>• Mortgage and deed information</w:t>
            </w:r>
          </w:p>
        </w:tc>
      </w:tr>
      <w:tr>
        <w:trPr>
          <w:trHeight w:val="270"/>
        </w:trPr>
        <w:tc>
          <w:tcPr>
            <w:tcW w:w="2640" w:type="dxa"/>
            <w:vAlign w:val="bottom"/>
            <w:gridSpan w:val="2"/>
          </w:tcPr>
          <w:p>
            <w:pPr>
              <w:spacing w:after="0"/>
              <w:rPr>
                <w:sz w:val="20"/>
                <w:szCs w:val="20"/>
                <w:color w:val="auto"/>
              </w:rPr>
            </w:pPr>
            <w:r>
              <w:rPr>
                <w:rFonts w:ascii="Arial" w:cs="Arial" w:eastAsia="Arial" w:hAnsi="Arial"/>
                <w:sz w:val="18"/>
                <w:szCs w:val="18"/>
                <w:color w:val="auto"/>
              </w:rPr>
              <w:t>• Site and zoning information</w:t>
            </w:r>
          </w:p>
        </w:tc>
        <w:tc>
          <w:tcPr>
            <w:tcW w:w="540" w:type="dxa"/>
            <w:vAlign w:val="bottom"/>
          </w:tcPr>
          <w:p>
            <w:pPr>
              <w:ind w:left="44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For-sale information</w:t>
            </w:r>
          </w:p>
        </w:tc>
      </w:tr>
      <w:tr>
        <w:trPr>
          <w:trHeight w:val="270"/>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540" w:type="dxa"/>
            <w:vAlign w:val="bottom"/>
          </w:tcPr>
          <w:p>
            <w:pPr>
              <w:ind w:left="60"/>
              <w:spacing w:after="0"/>
              <w:rPr>
                <w:sz w:val="20"/>
                <w:szCs w:val="20"/>
                <w:color w:val="auto"/>
              </w:rPr>
            </w:pPr>
            <w:r>
              <w:rPr>
                <w:rFonts w:ascii="Arial" w:cs="Arial" w:eastAsia="Arial" w:hAnsi="Arial"/>
                <w:sz w:val="18"/>
                <w:szCs w:val="18"/>
                <w:color w:val="auto"/>
              </w:rPr>
              <w:t>Building characteristics</w:t>
            </w:r>
          </w:p>
        </w:tc>
        <w:tc>
          <w:tcPr>
            <w:tcW w:w="2880" w:type="dxa"/>
            <w:vAlign w:val="bottom"/>
            <w:gridSpan w:val="2"/>
          </w:tcPr>
          <w:p>
            <w:pPr>
              <w:ind w:left="440"/>
              <w:spacing w:after="0"/>
              <w:rPr>
                <w:sz w:val="20"/>
                <w:szCs w:val="20"/>
                <w:color w:val="auto"/>
              </w:rPr>
            </w:pPr>
            <w:r>
              <w:rPr>
                <w:rFonts w:ascii="Arial" w:cs="Arial" w:eastAsia="Arial" w:hAnsi="Arial"/>
                <w:sz w:val="18"/>
                <w:szCs w:val="18"/>
                <w:color w:val="auto"/>
                <w:w w:val="96"/>
              </w:rPr>
              <w:t>• Income and expense histories</w:t>
            </w:r>
          </w:p>
        </w:tc>
      </w:tr>
      <w:tr>
        <w:trPr>
          <w:trHeight w:val="270"/>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540" w:type="dxa"/>
            <w:vAlign w:val="bottom"/>
          </w:tcPr>
          <w:p>
            <w:pPr>
              <w:ind w:left="60"/>
              <w:spacing w:after="0"/>
              <w:rPr>
                <w:sz w:val="20"/>
                <w:szCs w:val="20"/>
                <w:color w:val="auto"/>
              </w:rPr>
            </w:pPr>
            <w:r>
              <w:rPr>
                <w:rFonts w:ascii="Arial" w:cs="Arial" w:eastAsia="Arial" w:hAnsi="Arial"/>
                <w:sz w:val="18"/>
                <w:szCs w:val="18"/>
                <w:color w:val="auto"/>
              </w:rPr>
              <w:t>Space availability</w:t>
            </w:r>
          </w:p>
        </w:tc>
        <w:tc>
          <w:tcPr>
            <w:tcW w:w="540" w:type="dxa"/>
            <w:vAlign w:val="bottom"/>
          </w:tcPr>
          <w:p>
            <w:pPr>
              <w:ind w:left="44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Tenant names</w:t>
            </w:r>
          </w:p>
        </w:tc>
      </w:tr>
      <w:tr>
        <w:trPr>
          <w:trHeight w:val="270"/>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540" w:type="dxa"/>
            <w:vAlign w:val="bottom"/>
          </w:tcPr>
          <w:p>
            <w:pPr>
              <w:ind w:left="60"/>
              <w:spacing w:after="0"/>
              <w:rPr>
                <w:sz w:val="20"/>
                <w:szCs w:val="20"/>
                <w:color w:val="auto"/>
              </w:rPr>
            </w:pPr>
            <w:r>
              <w:rPr>
                <w:rFonts w:ascii="Arial" w:cs="Arial" w:eastAsia="Arial" w:hAnsi="Arial"/>
                <w:sz w:val="18"/>
                <w:szCs w:val="18"/>
                <w:color w:val="auto"/>
              </w:rPr>
              <w:t>Tax assessments</w:t>
            </w:r>
          </w:p>
        </w:tc>
        <w:tc>
          <w:tcPr>
            <w:tcW w:w="540" w:type="dxa"/>
            <w:vAlign w:val="bottom"/>
          </w:tcPr>
          <w:p>
            <w:pPr>
              <w:ind w:left="44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Lease expirations</w:t>
            </w:r>
          </w:p>
        </w:tc>
      </w:tr>
      <w:tr>
        <w:trPr>
          <w:trHeight w:val="270"/>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540" w:type="dxa"/>
            <w:vAlign w:val="bottom"/>
          </w:tcPr>
          <w:p>
            <w:pPr>
              <w:ind w:left="60"/>
              <w:spacing w:after="0"/>
              <w:rPr>
                <w:sz w:val="20"/>
                <w:szCs w:val="20"/>
                <w:color w:val="auto"/>
              </w:rPr>
            </w:pPr>
            <w:r>
              <w:rPr>
                <w:rFonts w:ascii="Arial" w:cs="Arial" w:eastAsia="Arial" w:hAnsi="Arial"/>
                <w:sz w:val="18"/>
                <w:szCs w:val="18"/>
                <w:color w:val="auto"/>
              </w:rPr>
              <w:t>Ownership</w:t>
            </w:r>
          </w:p>
        </w:tc>
        <w:tc>
          <w:tcPr>
            <w:tcW w:w="540" w:type="dxa"/>
            <w:vAlign w:val="bottom"/>
          </w:tcPr>
          <w:p>
            <w:pPr>
              <w:ind w:left="44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Contact information</w:t>
            </w:r>
          </w:p>
        </w:tc>
      </w:tr>
      <w:tr>
        <w:trPr>
          <w:trHeight w:val="270"/>
        </w:trPr>
        <w:tc>
          <w:tcPr>
            <w:tcW w:w="2640" w:type="dxa"/>
            <w:vAlign w:val="bottom"/>
            <w:gridSpan w:val="2"/>
          </w:tcPr>
          <w:p>
            <w:pPr>
              <w:spacing w:after="0"/>
              <w:rPr>
                <w:sz w:val="20"/>
                <w:szCs w:val="20"/>
                <w:color w:val="auto"/>
              </w:rPr>
            </w:pPr>
            <w:r>
              <w:rPr>
                <w:rFonts w:ascii="Arial" w:cs="Arial" w:eastAsia="Arial" w:hAnsi="Arial"/>
                <w:sz w:val="18"/>
                <w:szCs w:val="18"/>
                <w:color w:val="auto"/>
              </w:rPr>
              <w:t>• Sales and lease comparables</w:t>
            </w:r>
          </w:p>
        </w:tc>
        <w:tc>
          <w:tcPr>
            <w:tcW w:w="540" w:type="dxa"/>
            <w:vAlign w:val="bottom"/>
          </w:tcPr>
          <w:p>
            <w:pPr>
              <w:ind w:left="44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Historical trends</w:t>
            </w:r>
          </w:p>
        </w:tc>
      </w:tr>
      <w:tr>
        <w:trPr>
          <w:trHeight w:val="270"/>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540" w:type="dxa"/>
            <w:vAlign w:val="bottom"/>
          </w:tcPr>
          <w:p>
            <w:pPr>
              <w:ind w:left="60"/>
              <w:spacing w:after="0"/>
              <w:rPr>
                <w:sz w:val="20"/>
                <w:szCs w:val="20"/>
                <w:color w:val="auto"/>
              </w:rPr>
            </w:pPr>
            <w:r>
              <w:rPr>
                <w:rFonts w:ascii="Arial" w:cs="Arial" w:eastAsia="Arial" w:hAnsi="Arial"/>
                <w:sz w:val="18"/>
                <w:szCs w:val="18"/>
                <w:color w:val="auto"/>
              </w:rPr>
              <w:t>Space requirements</w:t>
            </w:r>
          </w:p>
        </w:tc>
        <w:tc>
          <w:tcPr>
            <w:tcW w:w="540" w:type="dxa"/>
            <w:vAlign w:val="bottom"/>
          </w:tcPr>
          <w:p>
            <w:pPr>
              <w:ind w:left="44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Demographic information</w:t>
            </w:r>
          </w:p>
        </w:tc>
      </w:tr>
      <w:tr>
        <w:trPr>
          <w:trHeight w:val="270"/>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540" w:type="dxa"/>
            <w:vAlign w:val="bottom"/>
          </w:tcPr>
          <w:p>
            <w:pPr>
              <w:ind w:left="60"/>
              <w:spacing w:after="0"/>
              <w:rPr>
                <w:sz w:val="20"/>
                <w:szCs w:val="20"/>
                <w:color w:val="auto"/>
              </w:rPr>
            </w:pPr>
            <w:r>
              <w:rPr>
                <w:rFonts w:ascii="Arial" w:cs="Arial" w:eastAsia="Arial" w:hAnsi="Arial"/>
                <w:sz w:val="18"/>
                <w:szCs w:val="18"/>
                <w:color w:val="auto"/>
              </w:rPr>
              <w:t>Number of retail stores</w:t>
            </w:r>
          </w:p>
        </w:tc>
        <w:tc>
          <w:tcPr>
            <w:tcW w:w="540" w:type="dxa"/>
            <w:vAlign w:val="bottom"/>
          </w:tcPr>
          <w:p>
            <w:pPr>
              <w:ind w:left="44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Retail sales per square foot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CoStar Research</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developed a sophisticated data collection organization utilizing a multi-faceted research process. In 2013, our full time researchers and contractors drove millions of miles, conducted hundreds of thousands of on-site building inspections, and conducted millions of interviews of brokers, owners and tenants.</w:t>
      </w:r>
    </w:p>
    <w:p>
      <w:pPr>
        <w:spacing w:after="0" w:line="1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Research Department. </w:t>
      </w:r>
      <w:r>
        <w:rPr>
          <w:rFonts w:ascii="Arial" w:cs="Arial" w:eastAsia="Arial" w:hAnsi="Arial"/>
          <w:sz w:val="18"/>
          <w:szCs w:val="18"/>
          <w:color w:val="auto"/>
        </w:rPr>
        <w:t>As of January 31, 2014, we had approximately 1,123 commercial real estate research professionals and outside contractors</w:t>
      </w:r>
      <w:r>
        <w:rPr>
          <w:rFonts w:ascii="Arial" w:cs="Arial" w:eastAsia="Arial" w:hAnsi="Arial"/>
          <w:sz w:val="18"/>
          <w:szCs w:val="18"/>
          <w:i w:val="1"/>
          <w:iCs w:val="1"/>
          <w:color w:val="auto"/>
        </w:rPr>
        <w:t xml:space="preserve"> </w:t>
      </w:r>
      <w:r>
        <w:rPr>
          <w:rFonts w:ascii="Arial" w:cs="Arial" w:eastAsia="Arial" w:hAnsi="Arial"/>
          <w:sz w:val="18"/>
          <w:szCs w:val="18"/>
          <w:color w:val="auto"/>
        </w:rPr>
        <w:t>performing research. Our research professionals undergo an extensive training program so that we can maintain consistent research methods and processes throughout our research department. Our researchers collect and analyze commercial real estate information through millions of phone calls, e-mails and internet updates each year, in addition to field inspections, public records review, news monitoring and direct mail. Each researcher is responsible for maintaining the accuracy and reliability of database information. As part of their update process, researchers develop cooperative relationships with industry professionals that allow them to gather useful information. Because of the importance commercial real estate professionals place on our data and our prominent position in the industry, many of these professionals routinely take the initiative and proactively report available space and transactions to our researchers.</w:t>
      </w:r>
    </w:p>
    <w:p>
      <w:pPr>
        <w:spacing w:after="0" w:line="19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CoStar has an extensive field research effort that includes physical inspection of properties in order to research new markets, find additional property inventory, photograph properties and verify existing information. CoStar's field research effort also includes creating high quality videos of interior spaces, amenities and exterior features of properties. CoStar utilizes 115 high-tech, field research vehicles across the U.S., Canada and the U.K. A significant majority of these vehicles are customized energy efficient hybrid cars that are equipped with computers, proprietary Global Positioning System tracking software, high resolution digital cameras and handheld laser instruments to help precisely measure buildings, geo-code them and position them on digital maps. Some of our researchers also use custom-designed trucks with the same equipment as well as pneumatic masts that extend up to an elevation of twenty-five feet to allow for unobstructed building photographs from “birds-eye” views. Each CoStar vehicle uses wireless technology to track and transmit field data. A typical site inspection consists of photographing the building, measuring the building, geo-coding the building, capturing “For Sale” or “For Lease” sign information, counting parking spaces, assessing property condition and construction, and gathering tenant information. Certain researchers canvass properties, interviewing tenants suite by suite.</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Data and Image Providers. </w:t>
      </w:r>
      <w:r>
        <w:rPr>
          <w:rFonts w:ascii="Arial" w:cs="Arial" w:eastAsia="Arial" w:hAnsi="Arial"/>
          <w:sz w:val="17"/>
          <w:szCs w:val="17"/>
          <w:color w:val="auto"/>
        </w:rPr>
        <w:t>We license a small portion of our data and images from public record providers and third party data sources. Licensing</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with these entities provide for our use of a variety of commercial real estate information, including property ownership, tenant information, demographic information, maps and aerial photographs, all of which enhance various CoStar services. These license agreements generally grant us a non-exclusive license to use the data and images in the creation and supplementation of our information, analytics and marketing services and include what we believe are standard terms, such as a contract term ranging from one to five years, automatic renewal of the contract and fixed periodic license fees or a combination of fixed periodic license fees plus additional fees based upon our usage.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9" w:name="page10"/>
    <w:bookmarkEnd w:id="9"/>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Management and Quality Control Systems. </w:t>
      </w:r>
      <w:r>
        <w:rPr>
          <w:rFonts w:ascii="Arial" w:cs="Arial" w:eastAsia="Arial" w:hAnsi="Arial"/>
          <w:sz w:val="16"/>
          <w:szCs w:val="16"/>
          <w:color w:val="auto"/>
        </w:rPr>
        <w:t>Our research processes include automated and non-automated controls to ensure the integrity of the data</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collection process. A large number of automated data quality tests check for potential errors, including occupancy date conflicts, available square footage greater than building area, typical floor space greater than land area and expired leases. We also monitor changes to critical fields of information to ensure all information is kept in compliance with our standard definitions and methodology. Our non-automated quality control procedures include:</w:t>
      </w:r>
    </w:p>
    <w:p>
      <w:pPr>
        <w:spacing w:after="0" w:line="154" w:lineRule="exact"/>
        <w:rPr>
          <w:sz w:val="20"/>
          <w:szCs w:val="20"/>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calling our information sources on recently updated properties to re-verify information;</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performing periodic research audits and field checks to determine if we correctly canvassed buildings;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providing training and retraining to our research professionals to ensure accurate data compilation;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compiling measurable performance metrics for research teams and managers for feedback on data quality.</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Finally, one of the most important and effective quality control measures we rely on is feedback provided by the commercial real estate professionals using our data every day.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Technology</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January 31, 2014, CoStar had a staff of 312 product development, database and network professionals. CoStar’s information technology professionals focus on developing new services for our customers, integrating our current services, and delivering research automation tools that improve the quality of our data and increase the efficiency of our research analysts.</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color w:val="auto"/>
        </w:rPr>
        <w:t>Our subscription-based information services consist primarily of CoStar Suite</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and FOCUS</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services. CoStar Suite is sold as a platform of service offerings consisting of CoStar Property Professional®, CoStar COMPS Professional® and CoStar Tenant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through our mobile application, CoStarGo</w:t>
      </w:r>
      <w:r>
        <w:rPr>
          <w:rFonts w:ascii="Arial" w:cs="Arial" w:eastAsia="Arial" w:hAnsi="Arial"/>
          <w:sz w:val="22"/>
          <w:szCs w:val="22"/>
          <w:color w:val="auto"/>
          <w:vertAlign w:val="superscript"/>
        </w:rPr>
        <w:t>®</w:t>
      </w:r>
      <w:r>
        <w:rPr>
          <w:rFonts w:ascii="Arial" w:cs="Arial" w:eastAsia="Arial" w:hAnsi="Arial"/>
          <w:sz w:val="16"/>
          <w:szCs w:val="16"/>
          <w:color w:val="auto"/>
        </w:rPr>
        <w:t>.</w:t>
      </w:r>
    </w:p>
    <w:p>
      <w:pPr>
        <w:spacing w:after="0" w:line="6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Our information technology team is responsible for developing and maintaining CoStar services, including but not limited to CoStar Property Professional</w:t>
      </w:r>
      <w:r>
        <w:rPr>
          <w:rFonts w:ascii="Arial" w:cs="Arial" w:eastAsia="Arial" w:hAnsi="Arial"/>
          <w:sz w:val="18"/>
          <w:szCs w:val="18"/>
          <w:i w:val="1"/>
          <w:iCs w:val="1"/>
          <w:color w:val="auto"/>
        </w:rPr>
        <w:t>®</w:t>
      </w:r>
      <w:r>
        <w:rPr>
          <w:rFonts w:ascii="Arial" w:cs="Arial" w:eastAsia="Arial" w:hAnsi="Arial"/>
          <w:sz w:val="18"/>
          <w:szCs w:val="18"/>
          <w:color w:val="auto"/>
        </w:rPr>
        <w:t>, CoStar COMPS Professional</w:t>
      </w:r>
      <w:r>
        <w:rPr>
          <w:rFonts w:ascii="Arial" w:cs="Arial" w:eastAsia="Arial" w:hAnsi="Arial"/>
          <w:sz w:val="18"/>
          <w:szCs w:val="18"/>
          <w:i w:val="1"/>
          <w:iCs w:val="1"/>
          <w:color w:val="auto"/>
        </w:rPr>
        <w:t>®</w:t>
      </w:r>
      <w:r>
        <w:rPr>
          <w:rFonts w:ascii="Arial" w:cs="Arial" w:eastAsia="Arial" w:hAnsi="Arial"/>
          <w:sz w:val="18"/>
          <w:szCs w:val="18"/>
          <w:color w:val="auto"/>
        </w:rPr>
        <w:t>, CoStar Tenant</w:t>
      </w:r>
      <w:r>
        <w:rPr>
          <w:rFonts w:ascii="Arial" w:cs="Arial" w:eastAsia="Arial" w:hAnsi="Arial"/>
          <w:sz w:val="18"/>
          <w:szCs w:val="18"/>
          <w:i w:val="1"/>
          <w:iCs w:val="1"/>
          <w:color w:val="auto"/>
        </w:rPr>
        <w:t>®</w:t>
      </w:r>
      <w:r>
        <w:rPr>
          <w:rFonts w:ascii="Arial" w:cs="Arial" w:eastAsia="Arial" w:hAnsi="Arial"/>
          <w:sz w:val="18"/>
          <w:szCs w:val="18"/>
          <w:color w:val="auto"/>
        </w:rPr>
        <w:t>, CoStar Showcase®, CoStarGo®</w:t>
      </w:r>
      <w:r>
        <w:rPr>
          <w:rFonts w:ascii="Arial" w:cs="Arial" w:eastAsia="Arial" w:hAnsi="Arial"/>
          <w:sz w:val="18"/>
          <w:szCs w:val="18"/>
          <w:i w:val="1"/>
          <w:iCs w:val="1"/>
          <w:color w:val="auto"/>
        </w:rPr>
        <w:t>,</w:t>
      </w:r>
      <w:r>
        <w:rPr>
          <w:rFonts w:ascii="Arial" w:cs="Arial" w:eastAsia="Arial" w:hAnsi="Arial"/>
          <w:sz w:val="18"/>
          <w:szCs w:val="18"/>
          <w:color w:val="auto"/>
        </w:rPr>
        <w:t xml:space="preserve"> CoStar Connect</w:t>
      </w:r>
      <w:r>
        <w:rPr>
          <w:rFonts w:ascii="Arial" w:cs="Arial" w:eastAsia="Arial" w:hAnsi="Arial"/>
          <w:sz w:val="18"/>
          <w:szCs w:val="18"/>
          <w:i w:val="1"/>
          <w:iCs w:val="1"/>
          <w:color w:val="auto"/>
        </w:rPr>
        <w:t>®</w:t>
      </w:r>
      <w:r>
        <w:rPr>
          <w:rFonts w:ascii="Arial" w:cs="Arial" w:eastAsia="Arial" w:hAnsi="Arial"/>
          <w:sz w:val="18"/>
          <w:szCs w:val="18"/>
          <w:color w:val="auto"/>
        </w:rPr>
        <w:t>, CoStar Lease Analysis</w:t>
      </w:r>
      <w:r>
        <w:rPr>
          <w:rFonts w:ascii="Arial" w:cs="Arial" w:eastAsia="Arial" w:hAnsi="Arial"/>
          <w:sz w:val="25"/>
          <w:szCs w:val="25"/>
          <w:color w:val="auto"/>
          <w:vertAlign w:val="superscript"/>
        </w:rPr>
        <w:t>TM</w:t>
      </w:r>
      <w:r>
        <w:rPr>
          <w:rFonts w:ascii="Arial" w:cs="Arial" w:eastAsia="Arial" w:hAnsi="Arial"/>
          <w:sz w:val="18"/>
          <w:szCs w:val="18"/>
          <w:color w:val="auto"/>
        </w:rPr>
        <w:t>, CoStar Multifamily</w:t>
      </w:r>
      <w:r>
        <w:rPr>
          <w:rFonts w:ascii="Arial" w:cs="Arial" w:eastAsia="Arial" w:hAnsi="Arial"/>
          <w:sz w:val="25"/>
          <w:szCs w:val="25"/>
          <w:color w:val="auto"/>
          <w:vertAlign w:val="superscript"/>
        </w:rPr>
        <w:t>TM</w:t>
      </w:r>
      <w:r>
        <w:rPr>
          <w:rFonts w:ascii="Arial" w:cs="Arial" w:eastAsia="Arial" w:hAnsi="Arial"/>
          <w:sz w:val="18"/>
          <w:szCs w:val="18"/>
          <w:color w:val="auto"/>
        </w:rPr>
        <w:t>, LoopNet Premium Lister, LoopNet Premium Searcher, LoopLink</w:t>
      </w:r>
      <w:r>
        <w:rPr>
          <w:rFonts w:ascii="Arial" w:cs="Arial" w:eastAsia="Arial" w:hAnsi="Arial"/>
          <w:sz w:val="18"/>
          <w:szCs w:val="18"/>
          <w:i w:val="1"/>
          <w:iCs w:val="1"/>
          <w:color w:val="auto"/>
        </w:rPr>
        <w:t>®</w:t>
      </w:r>
      <w:r>
        <w:rPr>
          <w:rFonts w:ascii="Arial" w:cs="Arial" w:eastAsia="Arial" w:hAnsi="Arial"/>
          <w:sz w:val="18"/>
          <w:szCs w:val="18"/>
          <w:color w:val="auto"/>
        </w:rPr>
        <w:t>, FOCUS</w:t>
      </w:r>
      <w:r>
        <w:rPr>
          <w:rFonts w:ascii="Arial" w:cs="Arial" w:eastAsia="Arial" w:hAnsi="Arial"/>
          <w:sz w:val="25"/>
          <w:szCs w:val="25"/>
          <w:color w:val="auto"/>
          <w:vertAlign w:val="superscript"/>
        </w:rPr>
        <w:t>TM</w:t>
      </w:r>
      <w:r>
        <w:rPr>
          <w:rFonts w:ascii="Arial" w:cs="Arial" w:eastAsia="Arial" w:hAnsi="Arial"/>
          <w:sz w:val="18"/>
          <w:szCs w:val="18"/>
          <w:color w:val="auto"/>
        </w:rPr>
        <w:t>, PPR products and services, Resolve Portfolio Maximizer</w:t>
      </w:r>
      <w:r>
        <w:rPr>
          <w:rFonts w:ascii="Arial" w:cs="Arial" w:eastAsia="Arial" w:hAnsi="Arial"/>
          <w:sz w:val="18"/>
          <w:szCs w:val="18"/>
          <w:i w:val="1"/>
          <w:iCs w:val="1"/>
          <w:color w:val="auto"/>
        </w:rPr>
        <w:t>®</w:t>
      </w:r>
      <w:r>
        <w:rPr>
          <w:rFonts w:ascii="Arial" w:cs="Arial" w:eastAsia="Arial" w:hAnsi="Arial"/>
          <w:sz w:val="18"/>
          <w:szCs w:val="18"/>
          <w:color w:val="auto"/>
        </w:rPr>
        <w:t xml:space="preserve"> and Resolve Request</w:t>
      </w:r>
      <w:r>
        <w:rPr>
          <w:rFonts w:ascii="Arial" w:cs="Arial" w:eastAsia="Arial" w:hAnsi="Arial"/>
          <w:sz w:val="25"/>
          <w:szCs w:val="25"/>
          <w:color w:val="auto"/>
          <w:vertAlign w:val="superscript"/>
        </w:rPr>
        <w:t>TM</w:t>
      </w:r>
      <w:r>
        <w:rPr>
          <w:rFonts w:ascii="Arial" w:cs="Arial" w:eastAsia="Arial" w:hAnsi="Arial"/>
          <w:sz w:val="18"/>
          <w:szCs w:val="18"/>
          <w:color w:val="auto"/>
        </w:rPr>
        <w:t>, and Virtual Premise products and services.</w:t>
      </w:r>
    </w:p>
    <w:p>
      <w:pPr>
        <w:spacing w:after="0" w:line="10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information technology team is responsible for developing the infrastructure necessary to support CoStar’s business processes, our comprehensive database of commercial real estate information, analytics and marketing services and our extensive image library. The team implements technologies and systems that introduce efficient workflows and controls that increase the production capacity of our research teams and improve the quality of our data. Over the years, the team has developed data collection and quality control mechanisms that we believe are unique to the commercial real estate industry. The team continues to develop and modify our enterprise information management system that integrates CoStar sales, research, field research, customer support and accounting information. We use this system to maintain our commercial real estate research information, manage contacts with the commercial real estate community, provide research workflow automation and conduct daily automated quality assurance checks. In addition, our information technology team has also developed fraud-detection technology to detect and prevent unauthorized access to our services.</w:t>
      </w:r>
    </w:p>
    <w:p>
      <w:pPr>
        <w:spacing w:after="0" w:line="166"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Our information technology professionals also maintain the servers and network components necessary to support CoStar services and research systems. CoStar's core services are served from multiple data centers to support uninterrupted service for our customers. CoStar’s services are continually monitored in an effort to ensure our customers fast and reliable access.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CoStar's comprehensive data protection policy provides for use of secure networks, strong passwords, encrypted data fields, off-site storage and other protective measures in an effort to ensure the availability and security of all core systems..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suite of information, analytics and marketing services is branded and marketed to our customers. Our services are primarily derived from a database of building-specific information and offer customers specialized tools for accessing, analyzing and using our information. Over time, we expect to continue to enhance our existing information, analytics and marketing services and develop additional services that make use of our comprehensive database to meet the needs of our existing customers as well as potential new categories of customers.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0" w:name="page11"/>
    <w:bookmarkEnd w:id="10"/>
    <w:p>
      <w:pPr>
        <w:ind w:left="340"/>
        <w:spacing w:after="0"/>
        <w:rPr>
          <w:sz w:val="20"/>
          <w:szCs w:val="20"/>
          <w:color w:val="auto"/>
        </w:rPr>
      </w:pPr>
      <w:r>
        <w:rPr>
          <w:rFonts w:ascii="Arial" w:cs="Arial" w:eastAsia="Arial" w:hAnsi="Arial"/>
          <w:sz w:val="18"/>
          <w:szCs w:val="18"/>
          <w:color w:val="auto"/>
        </w:rPr>
        <w:t>Our principal information, analytics and marketing services as of January 31, 2014, are described in the following paragraphs: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CoStar Property Professional</w:t>
      </w:r>
      <w:r>
        <w:rPr>
          <w:rFonts w:ascii="Arial" w:cs="Arial" w:eastAsia="Arial" w:hAnsi="Arial"/>
          <w:sz w:val="16"/>
          <w:szCs w:val="16"/>
          <w:color w:val="auto"/>
        </w:rPr>
        <w:t>® CoStar Property Professional, or “CoStar Property,” is the Company’s flagship service. It provides subscribers a</w:t>
      </w:r>
      <w:r>
        <w:rPr>
          <w:rFonts w:ascii="Arial" w:cs="Arial" w:eastAsia="Arial" w:hAnsi="Arial"/>
          <w:sz w:val="16"/>
          <w:szCs w:val="16"/>
          <w:i w:val="1"/>
          <w:iCs w:val="1"/>
          <w:color w:val="auto"/>
        </w:rPr>
        <w:t xml:space="preserve"> </w:t>
      </w:r>
      <w:r>
        <w:rPr>
          <w:rFonts w:ascii="Arial" w:cs="Arial" w:eastAsia="Arial" w:hAnsi="Arial"/>
          <w:sz w:val="16"/>
          <w:szCs w:val="16"/>
          <w:color w:val="auto"/>
        </w:rPr>
        <w:t>comprehensive inventory of office, industrial, retail and multifamily properties and land in markets throughout the U.S. and U.K., including for-lease and for-sale listings, historical data, building photographs, maps and floor plans. Commercial real estate professionals use CoStar Property to identify available space for lease, evaluate leasing and sale opportunities, value assets and position properties in the marketplace. Our clients also use CoStar Property to analyze market conditions by calculating current vacancy rates, absorption rates or average rental rates, and forecasting future trends based on user selected variables. CoStar Property provides subscribers with powerful map-based search capabilities as well as a user controlled, password protected extranet (or electronic “file cabinet”) where brokers may share space surveys and transaction-related documents online, in real time, with team members. When used together with CoStar Connect, CoStar Property enables subscribers to share space surveys and transaction-related documents with their clients, accessed through their corporate website. CoStar Property, along with all of CoStar’s other core information, analytics and marketing services, is delivered solely via the Internet.</w:t>
      </w:r>
    </w:p>
    <w:p>
      <w:pPr>
        <w:spacing w:after="0" w:line="167" w:lineRule="exact"/>
        <w:rPr>
          <w:sz w:val="20"/>
          <w:szCs w:val="20"/>
          <w:color w:val="auto"/>
        </w:rPr>
      </w:pPr>
    </w:p>
    <w:p>
      <w:pPr>
        <w:jc w:val="both"/>
        <w:ind w:left="980"/>
        <w:spacing w:after="0" w:line="284" w:lineRule="auto"/>
        <w:tabs>
          <w:tab w:leader="none" w:pos="1367"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CoStar Multifamily</w:t>
      </w:r>
      <w:r>
        <w:rPr>
          <w:rFonts w:ascii="Arial" w:cs="Arial" w:eastAsia="Arial" w:hAnsi="Arial"/>
          <w:sz w:val="25"/>
          <w:szCs w:val="25"/>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CoStar Multifamily information included as part of CoStar Property Professional provides subscribers a</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multifamily property database combined with analytic and forecasting tools that enable them to make investment decisions about multifamily properties. CoStar Multifamily provides information about buildings with 20 or more units including rents and occupancy rates, comparable sales transactions, construction locations, floor plans, high-resolution property images and detailed information on amenities and concessions.</w:t>
      </w:r>
    </w:p>
    <w:p>
      <w:pPr>
        <w:spacing w:after="0" w:line="179" w:lineRule="exact"/>
        <w:rPr>
          <w:rFonts w:ascii="Arial" w:cs="Arial" w:eastAsia="Arial" w:hAnsi="Arial"/>
          <w:sz w:val="18"/>
          <w:szCs w:val="18"/>
          <w:i w:val="1"/>
          <w:iCs w:val="1"/>
          <w:color w:val="auto"/>
        </w:rPr>
      </w:pPr>
    </w:p>
    <w:p>
      <w:pPr>
        <w:jc w:val="both"/>
        <w:ind w:left="980"/>
        <w:spacing w:after="0" w:line="280" w:lineRule="auto"/>
        <w:tabs>
          <w:tab w:leader="none" w:pos="1367"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CoStar Lease Analysis</w:t>
      </w:r>
      <w:r>
        <w:rPr>
          <w:rFonts w:ascii="Arial" w:cs="Arial" w:eastAsia="Arial" w:hAnsi="Arial"/>
          <w:sz w:val="25"/>
          <w:szCs w:val="25"/>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CoStar Lease Analysis is an integrated workflow tool that allows subscribers to incorporate CoStar data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their own data to perform in depth lease analyses. CoStar Lease Analysis can be used to produce an understandable cash flow analysis as well as key metrics about any proposed or existing lease. It combines financial modeling with CoStar’s comprehensive property information, enabling the subscriber to compare lease alternatives.</w:t>
      </w:r>
    </w:p>
    <w:p>
      <w:pPr>
        <w:spacing w:after="0" w:line="18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CoStar COMPS Professional</w:t>
      </w:r>
      <w:r>
        <w:rPr>
          <w:rFonts w:ascii="Arial" w:cs="Arial" w:eastAsia="Arial" w:hAnsi="Arial"/>
          <w:sz w:val="16"/>
          <w:szCs w:val="16"/>
          <w:color w:val="auto"/>
        </w:rPr>
        <w:t>® CoStar COMPS Professional, or “COMPS Professional,” provides comprehensive coverage of comparable sales</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in the U.S. and U.K. commercial real estate industries. It is the industry’s most comprehensive database of comparable sales transactions and is designed for professionals who need to research property comparables, identify market trends, expedite the appraisal process and support property valuations. COMPS Professional offers subscribers numerous fields of property information, access to support documents (e.g., deeds of trust) for new comparables, demographics and the ability to view for-sale properties alongside sold properties in three formats – plotted on a map, aerial image or in a table.</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CoStar Tenant</w:t>
      </w:r>
      <w:r>
        <w:rPr>
          <w:rFonts w:ascii="Arial" w:cs="Arial" w:eastAsia="Arial" w:hAnsi="Arial"/>
          <w:sz w:val="18"/>
          <w:szCs w:val="18"/>
          <w:color w:val="auto"/>
        </w:rPr>
        <w:t>® CoStar Tenant is a detailed online business-to-business prospecting and analytical tool providing commercial real estate professionals</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most comprehensive commercial real estate-related U.S. and U.K. tenant information available. CoStar Tenant profiles tenants occupying space in commercial buildings across the U.S. and provides updates on lease expirations - one of the service’s key features - as well as occupancy levels, growth rates and numerous other facts. Delivering this information via the Internet allows users to target prospective clients quickly through a searchable database that identifies only those tenants meeting certain criteria.</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CoStarGo</w:t>
      </w:r>
      <w:r>
        <w:rPr>
          <w:rFonts w:ascii="Arial" w:cs="Arial" w:eastAsia="Arial" w:hAnsi="Arial"/>
          <w:sz w:val="18"/>
          <w:szCs w:val="18"/>
          <w:color w:val="auto"/>
        </w:rPr>
        <w:t>® CoStarGo is an iPad application that integrates and provides subscribers of Costar Suite mobile access to our comprehensive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sales and tenant information in our suite of online service offerings – CoStar Property Professional, CoStar COMPS Professional and CoStar Tenant. CoStarGo provides a single, location-centric mobile interface that allows users to access and display comprehensive information on millions of properties and gain instant access to analytic data and demographic information from the field.</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CoStar Advertising® </w:t>
      </w:r>
      <w:r>
        <w:rPr>
          <w:rFonts w:ascii="Arial" w:cs="Arial" w:eastAsia="Arial" w:hAnsi="Arial"/>
          <w:sz w:val="17"/>
          <w:szCs w:val="17"/>
          <w:color w:val="auto"/>
        </w:rPr>
        <w:t>CoStar Advertising offers property owners and brokers a highly targeted and cost effective way to market a space for lease or a</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for sale directly to the CoStar subscribers looking for that type of space through interactive advertising. Our advertising model is based on varying levels of exposure, enabling the advertiser to target as narrowly or broadly as its budget permits. With the CoStar Advertising program, when the advertiser’s listings appear in a results set, they receive priority positioning and are enhanced to stand out. The advertiser can also purchase exposure in additional submarkets, or the entire market area so that this ad will appear even when this listing would not be returned in a results set.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1" w:name="page12"/>
    <w:bookmarkEnd w:id="11"/>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PPR® </w:t>
      </w:r>
      <w:r>
        <w:rPr>
          <w:rFonts w:ascii="Arial" w:cs="Arial" w:eastAsia="Arial" w:hAnsi="Arial"/>
          <w:sz w:val="18"/>
          <w:szCs w:val="18"/>
          <w:color w:val="auto"/>
        </w:rPr>
        <w:t>Our subsidiary, PPR, and its U.K. subsidiary, PPR UK, offer products and services designed to meet the research needs of commercial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and lenders. PPR covers metropolitan areas throughout the U.S., the U.K., and Europe, with offerings including historical and forecast market data and analysis by market and property type, and services including access to PPR’s analysts, economists, and strategists to develop and deliver custom research solutions. Key tools include analysis of underlying property data, assessment of current market fundamentals, forecasts of future market performance, and credit default models.</w:t>
      </w:r>
    </w:p>
    <w:p>
      <w:pPr>
        <w:spacing w:after="0" w:line="188" w:lineRule="exact"/>
        <w:rPr>
          <w:sz w:val="20"/>
          <w:szCs w:val="20"/>
          <w:color w:val="auto"/>
        </w:rPr>
      </w:pPr>
    </w:p>
    <w:p>
      <w:pPr>
        <w:jc w:val="both"/>
        <w:ind w:left="980"/>
        <w:spacing w:after="0" w:line="325" w:lineRule="auto"/>
        <w:tabs>
          <w:tab w:leader="none" w:pos="1367"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PPR Portal</w:t>
      </w:r>
      <w:r>
        <w:rPr>
          <w:rFonts w:ascii="Arial" w:cs="Arial" w:eastAsia="Arial" w:hAnsi="Arial"/>
          <w:sz w:val="22"/>
          <w:szCs w:val="22"/>
          <w:color w:val="auto"/>
          <w:vertAlign w:val="superscript"/>
        </w:rPr>
        <w:t>TM</w:t>
      </w:r>
      <w:r>
        <w:rPr>
          <w:rFonts w:ascii="Arial" w:cs="Arial" w:eastAsia="Arial" w:hAnsi="Arial"/>
          <w:sz w:val="16"/>
          <w:szCs w:val="16"/>
          <w:i w:val="1"/>
          <w:iCs w:val="1"/>
          <w:color w:val="auto"/>
        </w:rPr>
        <w:t xml:space="preserve"> </w:t>
      </w:r>
      <w:r>
        <w:rPr>
          <w:rFonts w:ascii="Arial" w:cs="Arial" w:eastAsia="Arial" w:hAnsi="Arial"/>
          <w:sz w:val="16"/>
          <w:szCs w:val="16"/>
          <w:color w:val="auto"/>
        </w:rPr>
        <w:t>is PPR’s primary delivery platform for research, forecasts, analytics, and granular data surrounding a specific address and</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type. Information is organized around clearly defined tabs, for ease of access. The information is presented in written, table data, graphic, and map formats, and can easily be downloaded by the user for integration into its own analytical framework. The PPR Portal is used by lenders, investors, and owners to identify and price investment opportunities, manage assets and portfolios, and source and service capital.</w:t>
      </w:r>
    </w:p>
    <w:p>
      <w:pPr>
        <w:spacing w:after="0" w:line="152" w:lineRule="exact"/>
        <w:rPr>
          <w:rFonts w:ascii="Arial" w:cs="Arial" w:eastAsia="Arial" w:hAnsi="Arial"/>
          <w:sz w:val="16"/>
          <w:szCs w:val="16"/>
          <w:i w:val="1"/>
          <w:iCs w:val="1"/>
          <w:color w:val="auto"/>
        </w:rPr>
      </w:pPr>
    </w:p>
    <w:p>
      <w:pPr>
        <w:jc w:val="both"/>
        <w:ind w:left="980"/>
        <w:spacing w:after="0" w:line="302" w:lineRule="auto"/>
        <w:tabs>
          <w:tab w:leader="none" w:pos="1367"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PPR COMPASS</w:t>
      </w:r>
      <w:r>
        <w:rPr>
          <w:rFonts w:ascii="Arial" w:cs="Arial" w:eastAsia="Arial" w:hAnsi="Arial"/>
          <w:sz w:val="22"/>
          <w:szCs w:val="22"/>
          <w:color w:val="auto"/>
          <w:vertAlign w:val="superscript"/>
        </w:rPr>
        <w:t>TM</w:t>
      </w:r>
      <w:r>
        <w:rPr>
          <w:rFonts w:ascii="Arial" w:cs="Arial" w:eastAsia="Arial" w:hAnsi="Arial"/>
          <w:sz w:val="16"/>
          <w:szCs w:val="16"/>
          <w:i w:val="1"/>
          <w:iCs w:val="1"/>
          <w:color w:val="auto"/>
        </w:rPr>
        <w:t xml:space="preserve"> </w:t>
      </w:r>
      <w:r>
        <w:rPr>
          <w:rFonts w:ascii="Arial" w:cs="Arial" w:eastAsia="Arial" w:hAnsi="Arial"/>
          <w:sz w:val="16"/>
          <w:szCs w:val="16"/>
          <w:color w:val="auto"/>
        </w:rPr>
        <w:t>is PPR’s premier commercial real estate risk management tool. It allows users to calculate Probability of Default, Loss</w:t>
      </w:r>
      <w:r>
        <w:rPr>
          <w:rFonts w:ascii="Arial" w:cs="Arial" w:eastAsia="Arial" w:hAnsi="Arial"/>
          <w:sz w:val="16"/>
          <w:szCs w:val="16"/>
          <w:i w:val="1"/>
          <w:iCs w:val="1"/>
          <w:color w:val="auto"/>
        </w:rPr>
        <w:t xml:space="preserve"> </w:t>
      </w:r>
      <w:r>
        <w:rPr>
          <w:rFonts w:ascii="Arial" w:cs="Arial" w:eastAsia="Arial" w:hAnsi="Arial"/>
          <w:sz w:val="16"/>
          <w:szCs w:val="16"/>
          <w:color w:val="auto"/>
        </w:rPr>
        <w:t>Given Default, Expected Loss, and Confidence Interval (of Expected Loss) results for a loan or a portfolio. It provides direct comparisons of credit risk and refinance risk across Time, Market, Property Type, and Loan Structure for all macroeconomic forecast scenarios. COMPASS</w:t>
      </w:r>
      <w:r>
        <w:rPr>
          <w:rFonts w:ascii="Arial" w:cs="Arial" w:eastAsia="Arial" w:hAnsi="Arial"/>
          <w:sz w:val="22"/>
          <w:szCs w:val="22"/>
          <w:i w:val="1"/>
          <w:iCs w:val="1"/>
          <w:color w:val="auto"/>
          <w:vertAlign w:val="superscript"/>
        </w:rPr>
        <w:t>CRE</w:t>
      </w:r>
      <w:r>
        <w:rPr>
          <w:rFonts w:ascii="Arial" w:cs="Arial" w:eastAsia="Arial" w:hAnsi="Arial"/>
          <w:sz w:val="16"/>
          <w:szCs w:val="16"/>
          <w:color w:val="auto"/>
        </w:rPr>
        <w:t xml:space="preserve"> is used by lenders, issuers, ratings agencies, and regulators to estimate required loss reserves and economic capital, target lending opportunities, set pricing strategy, objectively compare/price loans, more effectively allocate capital, and manage refinance risk.</w:t>
      </w:r>
    </w:p>
    <w:p>
      <w:pPr>
        <w:spacing w:after="0" w:line="16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Resolve Portfolio Maximizer® </w:t>
      </w:r>
      <w:r>
        <w:rPr>
          <w:rFonts w:ascii="Arial" w:cs="Arial" w:eastAsia="Arial" w:hAnsi="Arial"/>
          <w:sz w:val="18"/>
          <w:szCs w:val="18"/>
          <w:color w:val="auto"/>
        </w:rPr>
        <w:t>Resolve Portfolio Maximizer is an industry leading real estate portfolio management software solution. Resolve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Maximizer allows users to model partnership structures, calculate waterfall distributions and fees, model and analyze debt obligations, and create multiple “what if” scenarios for alternative investment decisions.</w:t>
      </w:r>
    </w:p>
    <w:p>
      <w:pPr>
        <w:spacing w:after="0" w:line="181"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8"/>
          <w:szCs w:val="18"/>
          <w:i w:val="1"/>
          <w:iCs w:val="1"/>
          <w:color w:val="auto"/>
        </w:rPr>
        <w:t>Resolve Request</w:t>
      </w:r>
      <w:r>
        <w:rPr>
          <w:rFonts w:ascii="Arial" w:cs="Arial" w:eastAsia="Arial" w:hAnsi="Arial"/>
          <w:sz w:val="25"/>
          <w:szCs w:val="25"/>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Resolve Request is the first business intelligence software solution built specifically for managing commercial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Resolve Request helps users eliminate some of the difficulties of consolidating real estate investment data from disparate sources and facilitates standardization of information presentation and reporting across an organization. Resolve Request also provides a platform for users to develop business intelligence and reporting capabilities.</w:t>
      </w:r>
    </w:p>
    <w:p>
      <w:pPr>
        <w:spacing w:after="0" w:line="202"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i w:val="1"/>
          <w:iCs w:val="1"/>
          <w:color w:val="auto"/>
        </w:rPr>
        <w:t>VP Corporate Edition</w:t>
      </w:r>
      <w:r>
        <w:rPr>
          <w:rFonts w:ascii="Arial" w:cs="Arial" w:eastAsia="Arial" w:hAnsi="Arial"/>
          <w:sz w:val="25"/>
          <w:szCs w:val="25"/>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Our subsidiary, Virtual Premise, offers VP Corporate Edition, a real estate management software solution designed for</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real estate managers, company executives, business unit directors, brokers and project managers. VP Corporate Edition helps users connect real estate initiatives with company strategic goals, streamline portfolio operations, automate the process for collecting and managing space requests, reduce occupancy costs with analytics that track location performance against targets, and maximize location performance through proactive portfolio management. Virtual Premise also provides lease abstraction and data review services in order to facilitate the effective implementation of this software solution.</w:t>
      </w:r>
    </w:p>
    <w:p>
      <w:pPr>
        <w:spacing w:after="0" w:line="20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7"/>
          <w:szCs w:val="17"/>
          <w:i w:val="1"/>
          <w:iCs w:val="1"/>
          <w:color w:val="auto"/>
        </w:rPr>
        <w:t>VP Retail Edition</w:t>
      </w:r>
      <w:r>
        <w:rPr>
          <w:rFonts w:ascii="Arial" w:cs="Arial" w:eastAsia="Arial" w:hAnsi="Arial"/>
          <w:sz w:val="24"/>
          <w:szCs w:val="24"/>
          <w:color w:val="auto"/>
          <w:vertAlign w:val="superscript"/>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VP Retail Edition is a real estate management software solution designed for company executives, real estate dealmakers and store</w:t>
      </w:r>
      <w:r>
        <w:rPr>
          <w:rFonts w:ascii="Arial" w:cs="Arial" w:eastAsia="Arial" w:hAnsi="Arial"/>
          <w:sz w:val="17"/>
          <w:szCs w:val="17"/>
          <w:i w:val="1"/>
          <w:iCs w:val="1"/>
          <w:color w:val="auto"/>
        </w:rPr>
        <w:t xml:space="preserve"> </w:t>
      </w:r>
      <w:r>
        <w:rPr>
          <w:rFonts w:ascii="Arial" w:cs="Arial" w:eastAsia="Arial" w:hAnsi="Arial"/>
          <w:sz w:val="17"/>
          <w:szCs w:val="17"/>
          <w:color w:val="auto"/>
        </w:rPr>
        <w:t>planning and construction managers. VP Retail Edition helps users to utilize comprehensive and real-time data to establish goals and store strategies, manage the execution of real estate strategies, summarize critical portfolio data to drive cost-saving decisions, and benchmark prerequisite store-level information and metrics for maximizing location performance through proactive portfolio management. Virtual Premise also provides lease abstraction and data review services in order to facilitate the effective implementation of this software solution.</w:t>
      </w:r>
    </w:p>
    <w:p>
      <w:pPr>
        <w:spacing w:after="0" w:line="1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LoopNet® Basic and Premium Membership </w:t>
      </w:r>
      <w:r>
        <w:rPr>
          <w:rFonts w:ascii="Arial" w:cs="Arial" w:eastAsia="Arial" w:hAnsi="Arial"/>
          <w:sz w:val="18"/>
          <w:szCs w:val="18"/>
          <w:color w:val="auto"/>
        </w:rPr>
        <w:t>Our subsidiary, LoopNet, offers two types of memberships on the LoopNet marketplace, basic and premium.</w:t>
      </w:r>
      <w:r>
        <w:rPr>
          <w:rFonts w:ascii="Arial" w:cs="Arial" w:eastAsia="Arial" w:hAnsi="Arial"/>
          <w:sz w:val="18"/>
          <w:szCs w:val="18"/>
          <w:i w:val="1"/>
          <w:iCs w:val="1"/>
          <w:color w:val="auto"/>
        </w:rPr>
        <w:t xml:space="preserve"> </w:t>
      </w:r>
      <w:r>
        <w:rPr>
          <w:rFonts w:ascii="Arial" w:cs="Arial" w:eastAsia="Arial" w:hAnsi="Arial"/>
          <w:sz w:val="18"/>
          <w:szCs w:val="18"/>
          <w:color w:val="auto"/>
        </w:rPr>
        <w:t>Basic membership is available free-of-charge to anyone who registers at our LoopNet website and enables members to experience some of the benefits of the LoopNet offering, with limited functionality. As of January 31, 2014, LoopNet had approximately 8.2 million registered members, of which 83,277 were premium members.</w:t>
      </w:r>
    </w:p>
    <w:p>
      <w:pPr>
        <w:spacing w:after="0" w:line="214" w:lineRule="exact"/>
        <w:rPr>
          <w:sz w:val="20"/>
          <w:szCs w:val="20"/>
          <w:color w:val="auto"/>
        </w:rPr>
      </w:pPr>
    </w:p>
    <w:p>
      <w:pPr>
        <w:jc w:val="both"/>
        <w:ind w:left="980"/>
        <w:spacing w:after="0" w:line="306" w:lineRule="auto"/>
        <w:tabs>
          <w:tab w:leader="none" w:pos="1367"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LoopNet® Premium Lister </w:t>
      </w:r>
      <w:r>
        <w:rPr>
          <w:rFonts w:ascii="Arial" w:cs="Arial" w:eastAsia="Arial" w:hAnsi="Arial"/>
          <w:sz w:val="18"/>
          <w:szCs w:val="18"/>
          <w:color w:val="auto"/>
        </w:rPr>
        <w:t>LoopNet Premium Lister is designed for commercial real estate professionals and other customers who seek the</w:t>
      </w:r>
      <w:r>
        <w:rPr>
          <w:rFonts w:ascii="Arial" w:cs="Arial" w:eastAsia="Arial" w:hAnsi="Arial"/>
          <w:sz w:val="18"/>
          <w:szCs w:val="18"/>
          <w:i w:val="1"/>
          <w:iCs w:val="1"/>
          <w:color w:val="auto"/>
        </w:rPr>
        <w:t xml:space="preserve"> </w:t>
      </w:r>
      <w:r>
        <w:rPr>
          <w:rFonts w:ascii="Arial" w:cs="Arial" w:eastAsia="Arial" w:hAnsi="Arial"/>
          <w:sz w:val="18"/>
          <w:szCs w:val="18"/>
          <w:color w:val="auto"/>
        </w:rPr>
        <w:t>broadest possible exposure for their listings, access to leads lists, and advanced marketing and searching tools. LoopNet Premium Lister provides subscribers with the ability to market their listings to all LoopNet.com visitors, as well as numerous other features. LoopNet Premium Lister is available for a quarterly or annual subscription.</w:t>
      </w:r>
    </w:p>
    <w:p>
      <w:pPr>
        <w:spacing w:after="0" w:line="186" w:lineRule="exact"/>
        <w:rPr>
          <w:rFonts w:ascii="Arial" w:cs="Arial" w:eastAsia="Arial" w:hAnsi="Arial"/>
          <w:sz w:val="18"/>
          <w:szCs w:val="18"/>
          <w:i w:val="1"/>
          <w:iCs w:val="1"/>
          <w:color w:val="auto"/>
        </w:rPr>
      </w:pPr>
    </w:p>
    <w:p>
      <w:pPr>
        <w:jc w:val="both"/>
        <w:ind w:left="980"/>
        <w:spacing w:after="0" w:line="306" w:lineRule="auto"/>
        <w:tabs>
          <w:tab w:leader="none" w:pos="1367"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LoopNet® Premium Searcher </w:t>
      </w:r>
      <w:r>
        <w:rPr>
          <w:rFonts w:ascii="Arial" w:cs="Arial" w:eastAsia="Arial" w:hAnsi="Arial"/>
          <w:sz w:val="18"/>
          <w:szCs w:val="18"/>
          <w:color w:val="auto"/>
        </w:rPr>
        <w:t>LoopNet Premium Searcher is designed for members searching for commercial real estate who need</w:t>
      </w:r>
      <w:r>
        <w:rPr>
          <w:rFonts w:ascii="Arial" w:cs="Arial" w:eastAsia="Arial" w:hAnsi="Arial"/>
          <w:sz w:val="18"/>
          <w:szCs w:val="18"/>
          <w:i w:val="1"/>
          <w:iCs w:val="1"/>
          <w:color w:val="auto"/>
        </w:rPr>
        <w:t xml:space="preserve"> </w:t>
      </w:r>
      <w:r>
        <w:rPr>
          <w:rFonts w:ascii="Arial" w:cs="Arial" w:eastAsia="Arial" w:hAnsi="Arial"/>
          <w:sz w:val="18"/>
          <w:szCs w:val="18"/>
          <w:color w:val="auto"/>
        </w:rPr>
        <w:t>unlimited marketplace searching access, reports and advanced searching tools. LoopNet Premium Searcher provides subscribers with full access to all LoopNet property listings, including Premium and Basic Listings, as well as numerous other features. LoopNet Premium Searcher is available for a monthly, quarterly or annual subscription.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2" w:name="page13"/>
    <w:bookmarkEnd w:id="12"/>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LoopLink® </w:t>
      </w:r>
      <w:r>
        <w:rPr>
          <w:rFonts w:ascii="Arial" w:cs="Arial" w:eastAsia="Arial" w:hAnsi="Arial"/>
          <w:sz w:val="17"/>
          <w:szCs w:val="17"/>
          <w:color w:val="auto"/>
        </w:rPr>
        <w:t>LoopLink is an online real estate marketing and database services suite that enables commercial real estate firms to showcase their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properties both on the LoopNet marketplace and on the brokerage firm’s own website using hosted search software. Within LoopNet, each LoopLink listing is branded with the client’s logo and is hyperlinked to the client’s website. Additionally, the LoopLink service provides customizable, branded property search and results screens that can be integrated into the client’s website. The LoopNet import service offers the opportunity to simplify the process of submitting listings to LoopNet from the client’s internal databases, and features advanced data matching and data integrity rules and file conversion capabilities. LoopNet charges a monthly subscription fee to commercial real estate firms for the LoopLink service. Key features of LoopLink include comprehensive reporting and listing administration tools, a searchable and seamlessly integrated professional directory, property mapping for geographic and feasibility analysis, thumbnail photos and expanded property descriptions in search results.</w:t>
      </w:r>
    </w:p>
    <w:p>
      <w:pPr>
        <w:spacing w:after="0" w:line="179"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i w:val="1"/>
          <w:iCs w:val="1"/>
          <w:color w:val="auto"/>
        </w:rPr>
        <w:t>LandsofAmerica</w:t>
      </w:r>
      <w:r>
        <w:rPr>
          <w:rFonts w:ascii="Arial" w:cs="Arial" w:eastAsia="Arial" w:hAnsi="Arial"/>
          <w:sz w:val="25"/>
          <w:szCs w:val="25"/>
          <w:color w:val="auto"/>
          <w:vertAlign w:val="superscript"/>
        </w:rPr>
        <w:t>TM</w:t>
      </w:r>
      <w:r>
        <w:rPr>
          <w:rFonts w:ascii="Arial" w:cs="Arial" w:eastAsia="Arial" w:hAnsi="Arial"/>
          <w:sz w:val="18"/>
          <w:szCs w:val="18"/>
          <w:i w:val="1"/>
          <w:iCs w:val="1"/>
          <w:color w:val="auto"/>
        </w:rPr>
        <w:t xml:space="preserve"> and LandAndFarm</w:t>
      </w:r>
      <w:r>
        <w:rPr>
          <w:rFonts w:ascii="Arial" w:cs="Arial" w:eastAsia="Arial" w:hAnsi="Arial"/>
          <w:sz w:val="25"/>
          <w:szCs w:val="25"/>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LandsofAmerica and LandAndFarm are leading online marketplaces for rural land for sale. Sellers pay a fee to</w:t>
      </w:r>
      <w:r>
        <w:rPr>
          <w:rFonts w:ascii="Arial" w:cs="Arial" w:eastAsia="Arial" w:hAnsi="Arial"/>
          <w:sz w:val="18"/>
          <w:szCs w:val="18"/>
          <w:i w:val="1"/>
          <w:iCs w:val="1"/>
          <w:color w:val="auto"/>
        </w:rPr>
        <w:t xml:space="preserve"> </w:t>
      </w:r>
      <w:r>
        <w:rPr>
          <w:rFonts w:ascii="Arial" w:cs="Arial" w:eastAsia="Arial" w:hAnsi="Arial"/>
          <w:sz w:val="18"/>
          <w:szCs w:val="18"/>
          <w:color w:val="auto"/>
        </w:rPr>
        <w:t>list their land for sale, and interested buyers can search LoopNet's listings for free.</w:t>
      </w:r>
    </w:p>
    <w:p>
      <w:pPr>
        <w:spacing w:after="0" w:line="20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BizBuySell® and BizQuest® </w:t>
      </w:r>
      <w:r>
        <w:rPr>
          <w:rFonts w:ascii="Arial" w:cs="Arial" w:eastAsia="Arial" w:hAnsi="Arial"/>
          <w:sz w:val="16"/>
          <w:szCs w:val="16"/>
          <w:color w:val="auto"/>
        </w:rPr>
        <w:t>BizBuySell and BizQuest are leading online marketplaces for operating businesses for sale. Business sellers pay a fee to list</w:t>
      </w:r>
      <w:r>
        <w:rPr>
          <w:rFonts w:ascii="Arial" w:cs="Arial" w:eastAsia="Arial" w:hAnsi="Arial"/>
          <w:sz w:val="16"/>
          <w:szCs w:val="16"/>
          <w:i w:val="1"/>
          <w:iCs w:val="1"/>
          <w:color w:val="auto"/>
        </w:rPr>
        <w:t xml:space="preserve"> </w:t>
      </w:r>
      <w:r>
        <w:rPr>
          <w:rFonts w:ascii="Arial" w:cs="Arial" w:eastAsia="Arial" w:hAnsi="Arial"/>
          <w:sz w:val="16"/>
          <w:szCs w:val="16"/>
          <w:color w:val="auto"/>
        </w:rPr>
        <w:t>their operating businesses for sale, and interested buyers can search LoopNet's listings for free. The BizBuySell and BizQuest Franchise Directories allow interested business buyers to search hundreds of franchise opportunities, and franchisors can list their availabilities in the directory on a cost per lead basis.</w:t>
      </w:r>
    </w:p>
    <w:p>
      <w:pPr>
        <w:spacing w:after="0" w:line="147"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8"/>
          <w:szCs w:val="18"/>
          <w:i w:val="1"/>
          <w:iCs w:val="1"/>
          <w:color w:val="auto"/>
        </w:rPr>
        <w:t>FOCUS</w:t>
      </w:r>
      <w:r>
        <w:rPr>
          <w:rFonts w:ascii="Arial" w:cs="Arial" w:eastAsia="Arial" w:hAnsi="Arial"/>
          <w:sz w:val="25"/>
          <w:szCs w:val="25"/>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Our U.K. subsidiary, CoStar U.K. Limited, offers several services; its primary service is FOCUS. FOCUS is a digital online service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the U.K. commercial real estate market. This service seamlessly links data on individual properties and companies across the U.K., including comparable sales, available space, requirements, tenants, lease deals, planning information, socio-economics and demographics, credit ratings, photos and maps.</w:t>
      </w:r>
    </w:p>
    <w:p>
      <w:pPr>
        <w:spacing w:after="0" w:line="202"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8"/>
          <w:szCs w:val="18"/>
          <w:i w:val="1"/>
          <w:iCs w:val="1"/>
          <w:color w:val="auto"/>
        </w:rPr>
        <w:t>Grecam</w:t>
      </w:r>
      <w:r>
        <w:rPr>
          <w:rFonts w:ascii="Arial" w:cs="Arial" w:eastAsia="Arial" w:hAnsi="Arial"/>
          <w:sz w:val="25"/>
          <w:szCs w:val="25"/>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Our French subsidiary, Grecam S.A.S., provides commercial real estate information throughout the Paris region through its Observatoire</w:t>
      </w:r>
      <w:r>
        <w:rPr>
          <w:rFonts w:ascii="Arial" w:cs="Arial" w:eastAsia="Arial" w:hAnsi="Arial"/>
          <w:sz w:val="18"/>
          <w:szCs w:val="18"/>
          <w:i w:val="1"/>
          <w:iCs w:val="1"/>
          <w:color w:val="auto"/>
        </w:rPr>
        <w:t xml:space="preserve"> </w:t>
      </w:r>
      <w:r>
        <w:rPr>
          <w:rFonts w:ascii="Arial" w:cs="Arial" w:eastAsia="Arial" w:hAnsi="Arial"/>
          <w:sz w:val="18"/>
          <w:szCs w:val="18"/>
          <w:color w:val="auto"/>
        </w:rPr>
        <w:t>Immobilier D’ Entreprise (“OIE”) service offering. The OIE service provides commercial property availability and transaction information to its subscribers through both an online service and market reports.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Clients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draw clients from across the commercial real estate and related business community. Commercial real estate brokers have traditionally formed the largest portion of CoStar clients, however, we also provide services to owners, landlords, financial institutions, retailers, vendors, appraisers, investment banks, governmental agencies, and other parties involved in commercial real estate. The following chart lists U.S. and U.K. clients that are well known or have the highest annual subscription fees in each of the various categories, each as of January 31, 2014:</w:t>
      </w:r>
    </w:p>
    <w:p>
      <w:pPr>
        <w:spacing w:after="0" w:line="137" w:lineRule="exact"/>
        <w:rPr>
          <w:sz w:val="20"/>
          <w:szCs w:val="20"/>
          <w:color w:val="auto"/>
        </w:rPr>
      </w:pPr>
    </w:p>
    <w:tbl>
      <w:tblPr>
        <w:tblLayout w:type="fixed"/>
        <w:tblInd w:w="220" w:type="dxa"/>
        <w:tblCellMar>
          <w:top w:w="0" w:type="dxa"/>
          <w:left w:w="0" w:type="dxa"/>
          <w:bottom w:w="0" w:type="dxa"/>
          <w:right w:w="0" w:type="dxa"/>
        </w:tblCellMar>
      </w:tblPr>
      <w:tr>
        <w:trPr>
          <w:trHeight w:val="205"/>
        </w:trPr>
        <w:tc>
          <w:tcPr>
            <w:tcW w:w="3520" w:type="dxa"/>
            <w:vAlign w:val="bottom"/>
            <w:gridSpan w:val="2"/>
          </w:tcPr>
          <w:p>
            <w:pPr>
              <w:ind w:left="1420"/>
              <w:spacing w:after="0"/>
              <w:rPr>
                <w:sz w:val="20"/>
                <w:szCs w:val="20"/>
                <w:color w:val="auto"/>
              </w:rPr>
            </w:pPr>
            <w:r>
              <w:rPr>
                <w:rFonts w:ascii="Arial" w:cs="Arial" w:eastAsia="Arial" w:hAnsi="Arial"/>
                <w:sz w:val="16"/>
                <w:szCs w:val="16"/>
                <w:b w:val="1"/>
                <w:bCs w:val="1"/>
                <w:color w:val="auto"/>
              </w:rPr>
              <w:t>Brokers</w:t>
            </w:r>
          </w:p>
        </w:tc>
        <w:tc>
          <w:tcPr>
            <w:tcW w:w="3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Lenders, Investment Bankers</w:t>
            </w:r>
          </w:p>
        </w:tc>
        <w:tc>
          <w:tcPr>
            <w:tcW w:w="4400" w:type="dxa"/>
            <w:vAlign w:val="bottom"/>
          </w:tcPr>
          <w:p>
            <w:pPr>
              <w:jc w:val="center"/>
              <w:spacing w:after="0"/>
              <w:rPr>
                <w:sz w:val="20"/>
                <w:szCs w:val="20"/>
                <w:color w:val="auto"/>
              </w:rPr>
            </w:pPr>
            <w:r>
              <w:rPr>
                <w:rFonts w:ascii="Arial" w:cs="Arial" w:eastAsia="Arial" w:hAnsi="Arial"/>
                <w:sz w:val="16"/>
                <w:szCs w:val="16"/>
                <w:b w:val="1"/>
                <w:bCs w:val="1"/>
                <w:color w:val="auto"/>
                <w:w w:val="89"/>
              </w:rPr>
              <w:t>Institutional Advisors, Asset Managers</w:t>
            </w:r>
          </w:p>
        </w:tc>
      </w:tr>
      <w:tr>
        <w:trPr>
          <w:trHeight w:val="49"/>
        </w:trPr>
        <w:tc>
          <w:tcPr>
            <w:tcW w:w="34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400" w:type="dxa"/>
            <w:vAlign w:val="bottom"/>
            <w:tcBorders>
              <w:bottom w:val="single" w:sz="8" w:color="auto"/>
            </w:tcBorders>
          </w:tcPr>
          <w:p>
            <w:pPr>
              <w:spacing w:after="0"/>
              <w:rPr>
                <w:sz w:val="4"/>
                <w:szCs w:val="4"/>
                <w:color w:val="auto"/>
              </w:rPr>
            </w:pPr>
          </w:p>
        </w:tc>
      </w:tr>
      <w:tr>
        <w:trPr>
          <w:trHeight w:val="229"/>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Binswanger</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AEGON USA Realty Advisors</w:t>
            </w:r>
          </w:p>
        </w:tc>
        <w:tc>
          <w:tcPr>
            <w:tcW w:w="4400" w:type="dxa"/>
            <w:vAlign w:val="bottom"/>
          </w:tcPr>
          <w:p>
            <w:pPr>
              <w:ind w:left="60"/>
              <w:spacing w:after="0"/>
              <w:rPr>
                <w:sz w:val="20"/>
                <w:szCs w:val="20"/>
                <w:color w:val="auto"/>
              </w:rPr>
            </w:pPr>
            <w:r>
              <w:rPr>
                <w:rFonts w:ascii="Arial" w:cs="Arial" w:eastAsia="Arial" w:hAnsi="Arial"/>
                <w:sz w:val="16"/>
                <w:szCs w:val="16"/>
                <w:color w:val="auto"/>
              </w:rPr>
              <w:t>Aberdeen Asset Management — U.K.</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BNP Paribas — U.K.</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Bank of America, N.A.</w:t>
            </w:r>
          </w:p>
        </w:tc>
        <w:tc>
          <w:tcPr>
            <w:tcW w:w="4400" w:type="dxa"/>
            <w:vAlign w:val="bottom"/>
          </w:tcPr>
          <w:p>
            <w:pPr>
              <w:ind w:left="60"/>
              <w:spacing w:after="0"/>
              <w:rPr>
                <w:sz w:val="20"/>
                <w:szCs w:val="20"/>
                <w:color w:val="auto"/>
              </w:rPr>
            </w:pPr>
            <w:r>
              <w:rPr>
                <w:rFonts w:ascii="Arial" w:cs="Arial" w:eastAsia="Arial" w:hAnsi="Arial"/>
                <w:sz w:val="16"/>
                <w:szCs w:val="16"/>
                <w:color w:val="auto"/>
              </w:rPr>
              <w:t>AEW Capital Management LP</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Carter</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Capital One Bank</w:t>
            </w:r>
          </w:p>
        </w:tc>
        <w:tc>
          <w:tcPr>
            <w:tcW w:w="4400" w:type="dxa"/>
            <w:vAlign w:val="bottom"/>
          </w:tcPr>
          <w:p>
            <w:pPr>
              <w:ind w:left="60"/>
              <w:spacing w:after="0"/>
              <w:rPr>
                <w:sz w:val="20"/>
                <w:szCs w:val="20"/>
                <w:color w:val="auto"/>
              </w:rPr>
            </w:pPr>
            <w:r>
              <w:rPr>
                <w:rFonts w:ascii="Arial" w:cs="Arial" w:eastAsia="Arial" w:hAnsi="Arial"/>
                <w:sz w:val="16"/>
                <w:szCs w:val="16"/>
                <w:color w:val="auto"/>
              </w:rPr>
              <w:t>BlackRock</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Cassidy Turley</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Citibank</w:t>
            </w:r>
          </w:p>
        </w:tc>
        <w:tc>
          <w:tcPr>
            <w:tcW w:w="4400" w:type="dxa"/>
            <w:vAlign w:val="bottom"/>
          </w:tcPr>
          <w:p>
            <w:pPr>
              <w:ind w:left="60"/>
              <w:spacing w:after="0"/>
              <w:rPr>
                <w:sz w:val="20"/>
                <w:szCs w:val="20"/>
                <w:color w:val="auto"/>
              </w:rPr>
            </w:pPr>
            <w:r>
              <w:rPr>
                <w:rFonts w:ascii="Arial" w:cs="Arial" w:eastAsia="Arial" w:hAnsi="Arial"/>
                <w:sz w:val="16"/>
                <w:szCs w:val="16"/>
                <w:color w:val="auto"/>
              </w:rPr>
              <w:t>Hartford Investment Management Company</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CB Richard Ellis</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Citigroup Global Markets — U.K.</w:t>
            </w:r>
          </w:p>
        </w:tc>
        <w:tc>
          <w:tcPr>
            <w:tcW w:w="4400" w:type="dxa"/>
            <w:vAlign w:val="bottom"/>
          </w:tcPr>
          <w:p>
            <w:pPr>
              <w:ind w:left="60"/>
              <w:spacing w:after="0"/>
              <w:rPr>
                <w:sz w:val="20"/>
                <w:szCs w:val="20"/>
                <w:color w:val="auto"/>
              </w:rPr>
            </w:pPr>
            <w:r>
              <w:rPr>
                <w:rFonts w:ascii="Arial" w:cs="Arial" w:eastAsia="Arial" w:hAnsi="Arial"/>
                <w:sz w:val="16"/>
                <w:szCs w:val="16"/>
                <w:color w:val="auto"/>
              </w:rPr>
              <w:t>ING Investment Management</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CB Richard Ellis — U.K.</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Deutsche Bank</w:t>
            </w:r>
          </w:p>
        </w:tc>
        <w:tc>
          <w:tcPr>
            <w:tcW w:w="4400" w:type="dxa"/>
            <w:vAlign w:val="bottom"/>
          </w:tcPr>
          <w:p>
            <w:pPr>
              <w:ind w:left="60"/>
              <w:spacing w:after="0"/>
              <w:rPr>
                <w:sz w:val="20"/>
                <w:szCs w:val="20"/>
                <w:color w:val="auto"/>
              </w:rPr>
            </w:pPr>
            <w:r>
              <w:rPr>
                <w:rFonts w:ascii="Arial" w:cs="Arial" w:eastAsia="Arial" w:hAnsi="Arial"/>
                <w:sz w:val="16"/>
                <w:szCs w:val="16"/>
                <w:color w:val="auto"/>
              </w:rPr>
              <w:t>M&amp;G Real Estate — U.K.</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Charles Dunn Company</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JP Morgan Chase Bank</w:t>
            </w:r>
          </w:p>
        </w:tc>
        <w:tc>
          <w:tcPr>
            <w:tcW w:w="4400" w:type="dxa"/>
            <w:vAlign w:val="bottom"/>
          </w:tcPr>
          <w:p>
            <w:pPr>
              <w:ind w:left="60"/>
              <w:spacing w:after="0"/>
              <w:rPr>
                <w:sz w:val="20"/>
                <w:szCs w:val="20"/>
                <w:color w:val="auto"/>
              </w:rPr>
            </w:pPr>
            <w:r>
              <w:rPr>
                <w:rFonts w:ascii="Arial" w:cs="Arial" w:eastAsia="Arial" w:hAnsi="Arial"/>
                <w:sz w:val="16"/>
                <w:szCs w:val="16"/>
                <w:color w:val="auto"/>
              </w:rPr>
              <w:t>Manulife Financial</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Coldwell Banker Commercial NRT</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Key Bank</w:t>
            </w:r>
          </w:p>
        </w:tc>
        <w:tc>
          <w:tcPr>
            <w:tcW w:w="4400" w:type="dxa"/>
            <w:vAlign w:val="bottom"/>
          </w:tcPr>
          <w:p>
            <w:pPr>
              <w:ind w:left="60"/>
              <w:spacing w:after="0"/>
              <w:rPr>
                <w:sz w:val="20"/>
                <w:szCs w:val="20"/>
                <w:color w:val="auto"/>
              </w:rPr>
            </w:pPr>
            <w:r>
              <w:rPr>
                <w:rFonts w:ascii="Arial" w:cs="Arial" w:eastAsia="Arial" w:hAnsi="Arial"/>
                <w:sz w:val="16"/>
                <w:szCs w:val="16"/>
                <w:color w:val="auto"/>
              </w:rPr>
              <w:t>MetLife Real Estate Investment</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Colliers</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Q10 Capital LLC</w:t>
            </w:r>
          </w:p>
        </w:tc>
        <w:tc>
          <w:tcPr>
            <w:tcW w:w="4400" w:type="dxa"/>
            <w:vAlign w:val="bottom"/>
          </w:tcPr>
          <w:p>
            <w:pPr>
              <w:ind w:left="60"/>
              <w:spacing w:after="0"/>
              <w:rPr>
                <w:sz w:val="20"/>
                <w:szCs w:val="20"/>
                <w:color w:val="auto"/>
              </w:rPr>
            </w:pPr>
            <w:r>
              <w:rPr>
                <w:rFonts w:ascii="Arial" w:cs="Arial" w:eastAsia="Arial" w:hAnsi="Arial"/>
                <w:sz w:val="16"/>
                <w:szCs w:val="16"/>
                <w:color w:val="auto"/>
              </w:rPr>
              <w:t>NorthMarq Capital</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Colliers International UK — U.K.</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Suntrust</w:t>
            </w:r>
          </w:p>
        </w:tc>
        <w:tc>
          <w:tcPr>
            <w:tcW w:w="4400" w:type="dxa"/>
            <w:vAlign w:val="bottom"/>
          </w:tcPr>
          <w:p>
            <w:pPr>
              <w:ind w:left="60"/>
              <w:spacing w:after="0"/>
              <w:rPr>
                <w:sz w:val="20"/>
                <w:szCs w:val="20"/>
                <w:color w:val="auto"/>
              </w:rPr>
            </w:pPr>
            <w:r>
              <w:rPr>
                <w:rFonts w:ascii="Arial" w:cs="Arial" w:eastAsia="Arial" w:hAnsi="Arial"/>
                <w:sz w:val="16"/>
                <w:szCs w:val="16"/>
                <w:color w:val="auto"/>
              </w:rPr>
              <w:t>Progressive Casualty Insurance Co.</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CRESA</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TD Bank</w:t>
            </w:r>
          </w:p>
        </w:tc>
        <w:tc>
          <w:tcPr>
            <w:tcW w:w="4400" w:type="dxa"/>
            <w:vAlign w:val="bottom"/>
          </w:tcPr>
          <w:p>
            <w:pPr>
              <w:ind w:left="60"/>
              <w:spacing w:after="0"/>
              <w:rPr>
                <w:sz w:val="20"/>
                <w:szCs w:val="20"/>
                <w:color w:val="auto"/>
              </w:rPr>
            </w:pPr>
            <w:r>
              <w:rPr>
                <w:rFonts w:ascii="Arial" w:cs="Arial" w:eastAsia="Arial" w:hAnsi="Arial"/>
                <w:sz w:val="16"/>
                <w:szCs w:val="16"/>
                <w:color w:val="auto"/>
              </w:rPr>
              <w:t>Prudential</w:t>
            </w:r>
          </w:p>
        </w:tc>
      </w:tr>
      <w:tr>
        <w:trPr>
          <w:trHeight w:val="243"/>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Cushman &amp; Wakefield</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Wells Fargo</w:t>
            </w:r>
          </w:p>
        </w:tc>
        <w:tc>
          <w:tcPr>
            <w:tcW w:w="4400" w:type="dxa"/>
            <w:vAlign w:val="bottom"/>
          </w:tcPr>
          <w:p>
            <w:pPr>
              <w:ind w:left="60"/>
              <w:spacing w:after="0"/>
              <w:rPr>
                <w:sz w:val="20"/>
                <w:szCs w:val="20"/>
                <w:color w:val="auto"/>
              </w:rPr>
            </w:pPr>
            <w:r>
              <w:rPr>
                <w:rFonts w:ascii="Arial" w:cs="Arial" w:eastAsia="Arial" w:hAnsi="Arial"/>
                <w:sz w:val="16"/>
                <w:szCs w:val="16"/>
                <w:color w:val="auto"/>
              </w:rPr>
              <w:t>Standard Life Investments — U.K.</w:t>
            </w:r>
          </w:p>
        </w:tc>
      </w:tr>
      <w:tr>
        <w:trPr>
          <w:trHeight w:val="297"/>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Cushman &amp; Wakefield — U.K.</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Wells Fargo — U.K.</w:t>
            </w:r>
          </w:p>
        </w:tc>
        <w:tc>
          <w:tcPr>
            <w:tcW w:w="4400" w:type="dxa"/>
            <w:vAlign w:val="bottom"/>
          </w:tcPr>
          <w:p>
            <w:pPr>
              <w:ind w:left="60"/>
              <w:spacing w:after="0"/>
              <w:rPr>
                <w:sz w:val="20"/>
                <w:szCs w:val="20"/>
                <w:color w:val="auto"/>
              </w:rPr>
            </w:pPr>
            <w:r>
              <w:rPr>
                <w:rFonts w:ascii="Arial" w:cs="Arial" w:eastAsia="Arial" w:hAnsi="Arial"/>
                <w:sz w:val="16"/>
                <w:szCs w:val="16"/>
                <w:color w:val="auto"/>
              </w:rPr>
              <w:t>USAA Real Estate Company</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DAUM Commercial Real Estate Services</w:t>
            </w:r>
          </w:p>
        </w:tc>
        <w:tc>
          <w:tcPr>
            <w:tcW w:w="2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0" w:type="dxa"/>
            <w:vAlign w:val="bottom"/>
          </w:tcPr>
          <w:p>
            <w:pPr>
              <w:spacing w:after="0"/>
              <w:rPr>
                <w:sz w:val="23"/>
                <w:szCs w:val="23"/>
                <w:color w:val="auto"/>
              </w:rPr>
            </w:pP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Drivers Jonas Deloitte — U.K.</w:t>
            </w:r>
          </w:p>
        </w:tc>
        <w:tc>
          <w:tcPr>
            <w:tcW w:w="2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0" w:type="dxa"/>
            <w:vAlign w:val="bottom"/>
          </w:tcPr>
          <w:p>
            <w:pPr>
              <w:spacing w:after="0"/>
              <w:rPr>
                <w:sz w:val="23"/>
                <w:szCs w:val="23"/>
                <w:color w:val="auto"/>
              </w:rPr>
            </w:pP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DTZ, a UGL company</w:t>
            </w:r>
          </w:p>
        </w:tc>
        <w:tc>
          <w:tcPr>
            <w:tcW w:w="2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0" w:type="dxa"/>
            <w:vAlign w:val="bottom"/>
          </w:tcPr>
          <w:p>
            <w:pPr>
              <w:spacing w:after="0"/>
              <w:rPr>
                <w:sz w:val="23"/>
                <w:szCs w:val="23"/>
                <w:color w:val="auto"/>
              </w:rPr>
            </w:pP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Gerald Eve — U.K.</w:t>
            </w:r>
          </w:p>
        </w:tc>
        <w:tc>
          <w:tcPr>
            <w:tcW w:w="3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Owners, Developers</w:t>
            </w:r>
          </w:p>
        </w:tc>
        <w:tc>
          <w:tcPr>
            <w:tcW w:w="4400" w:type="dxa"/>
            <w:vAlign w:val="bottom"/>
          </w:tcPr>
          <w:p>
            <w:pPr>
              <w:jc w:val="center"/>
              <w:spacing w:after="0"/>
              <w:rPr>
                <w:sz w:val="20"/>
                <w:szCs w:val="20"/>
                <w:color w:val="auto"/>
              </w:rPr>
            </w:pPr>
            <w:r>
              <w:rPr>
                <w:rFonts w:ascii="Arial" w:cs="Arial" w:eastAsia="Arial" w:hAnsi="Arial"/>
                <w:sz w:val="16"/>
                <w:szCs w:val="16"/>
                <w:b w:val="1"/>
                <w:bCs w:val="1"/>
                <w:color w:val="auto"/>
                <w:w w:val="88"/>
              </w:rPr>
              <w:t>Appraisers, Accountants</w:t>
            </w:r>
          </w:p>
        </w:tc>
      </w:tr>
      <w:tr>
        <w:trPr>
          <w:trHeight w:val="22"/>
        </w:trPr>
        <w:tc>
          <w:tcPr>
            <w:tcW w:w="3520" w:type="dxa"/>
            <w:vAlign w:val="bottom"/>
            <w:gridSpan w:val="2"/>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0" w:type="dxa"/>
            <w:vAlign w:val="bottom"/>
            <w:tcBorders>
              <w:bottom w:val="single" w:sz="8" w:color="auto"/>
            </w:tcBorders>
          </w:tcPr>
          <w:p>
            <w:pPr>
              <w:spacing w:after="0" w:line="20" w:lineRule="exact"/>
              <w:rPr>
                <w:sz w:val="1"/>
                <w:szCs w:val="1"/>
                <w:color w:val="auto"/>
              </w:rPr>
            </w:pPr>
          </w:p>
        </w:tc>
      </w:tr>
      <w:tr>
        <w:trPr>
          <w:trHeight w:val="229"/>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GVA Grimley — U.K.</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Grosvenor Estate Holdings — U.K.</w:t>
            </w:r>
          </w:p>
        </w:tc>
        <w:tc>
          <w:tcPr>
            <w:tcW w:w="4400" w:type="dxa"/>
            <w:vAlign w:val="bottom"/>
          </w:tcPr>
          <w:p>
            <w:pPr>
              <w:ind w:left="60"/>
              <w:spacing w:after="0"/>
              <w:rPr>
                <w:sz w:val="20"/>
                <w:szCs w:val="20"/>
                <w:color w:val="auto"/>
              </w:rPr>
            </w:pPr>
            <w:r>
              <w:rPr>
                <w:rFonts w:ascii="Arial" w:cs="Arial" w:eastAsia="Arial" w:hAnsi="Arial"/>
                <w:sz w:val="16"/>
                <w:szCs w:val="16"/>
                <w:color w:val="auto"/>
              </w:rPr>
              <w:t>Deloitte</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HFF</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Hines</w:t>
            </w:r>
          </w:p>
        </w:tc>
        <w:tc>
          <w:tcPr>
            <w:tcW w:w="4400" w:type="dxa"/>
            <w:vAlign w:val="bottom"/>
          </w:tcPr>
          <w:p>
            <w:pPr>
              <w:ind w:left="60"/>
              <w:spacing w:after="0"/>
              <w:rPr>
                <w:sz w:val="20"/>
                <w:szCs w:val="20"/>
                <w:color w:val="auto"/>
              </w:rPr>
            </w:pPr>
            <w:r>
              <w:rPr>
                <w:rFonts w:ascii="Arial" w:cs="Arial" w:eastAsia="Arial" w:hAnsi="Arial"/>
                <w:sz w:val="16"/>
                <w:szCs w:val="16"/>
                <w:color w:val="auto"/>
              </w:rPr>
              <w:t>Integra</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Jones Lang LaSalle</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Industrial Developments</w:t>
            </w:r>
          </w:p>
        </w:tc>
        <w:tc>
          <w:tcPr>
            <w:tcW w:w="4400" w:type="dxa"/>
            <w:vAlign w:val="bottom"/>
          </w:tcPr>
          <w:p>
            <w:pPr>
              <w:ind w:left="60"/>
              <w:spacing w:after="0"/>
              <w:rPr>
                <w:sz w:val="20"/>
                <w:szCs w:val="20"/>
                <w:color w:val="auto"/>
              </w:rPr>
            </w:pPr>
            <w:r>
              <w:rPr>
                <w:rFonts w:ascii="Arial" w:cs="Arial" w:eastAsia="Arial" w:hAnsi="Arial"/>
                <w:sz w:val="16"/>
                <w:szCs w:val="16"/>
                <w:color w:val="auto"/>
              </w:rPr>
              <w:t>KPMG</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Jones Lang LaSalle — U.K.</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LNR Property Corp</w:t>
            </w:r>
          </w:p>
        </w:tc>
        <w:tc>
          <w:tcPr>
            <w:tcW w:w="4400" w:type="dxa"/>
            <w:vAlign w:val="bottom"/>
          </w:tcPr>
          <w:p>
            <w:pPr>
              <w:ind w:left="60"/>
              <w:spacing w:after="0"/>
              <w:rPr>
                <w:sz w:val="20"/>
                <w:szCs w:val="20"/>
                <w:color w:val="auto"/>
              </w:rPr>
            </w:pPr>
            <w:r>
              <w:rPr>
                <w:rFonts w:ascii="Arial" w:cs="Arial" w:eastAsia="Arial" w:hAnsi="Arial"/>
                <w:sz w:val="16"/>
                <w:szCs w:val="16"/>
                <w:color w:val="auto"/>
              </w:rPr>
              <w:t>Marvin F. Poer</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Kidder Mathews</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Shorenstein Properties, LLC</w:t>
            </w:r>
          </w:p>
        </w:tc>
        <w:tc>
          <w:tcPr>
            <w:tcW w:w="4400" w:type="dxa"/>
            <w:vAlign w:val="bottom"/>
          </w:tcPr>
          <w:p>
            <w:pPr>
              <w:ind w:left="60"/>
              <w:spacing w:after="0"/>
              <w:rPr>
                <w:sz w:val="20"/>
                <w:szCs w:val="20"/>
                <w:color w:val="auto"/>
              </w:rPr>
            </w:pPr>
            <w:r>
              <w:rPr>
                <w:rFonts w:ascii="Arial" w:cs="Arial" w:eastAsia="Arial" w:hAnsi="Arial"/>
                <w:sz w:val="16"/>
                <w:szCs w:val="16"/>
                <w:color w:val="auto"/>
              </w:rPr>
              <w:t>Price Waterhouse Coopers</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Knight Frank LLP — U.K.</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Tishman Speyer</w:t>
            </w:r>
          </w:p>
        </w:tc>
        <w:tc>
          <w:tcPr>
            <w:tcW w:w="4400" w:type="dxa"/>
            <w:vAlign w:val="bottom"/>
          </w:tcPr>
          <w:p>
            <w:pPr>
              <w:ind w:left="60"/>
              <w:spacing w:after="0"/>
              <w:rPr>
                <w:sz w:val="20"/>
                <w:szCs w:val="20"/>
                <w:color w:val="auto"/>
              </w:rPr>
            </w:pPr>
            <w:r>
              <w:rPr>
                <w:rFonts w:ascii="Arial" w:cs="Arial" w:eastAsia="Arial" w:hAnsi="Arial"/>
                <w:sz w:val="16"/>
                <w:szCs w:val="16"/>
                <w:color w:val="auto"/>
              </w:rPr>
              <w:t>Ryan LLC</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Lambert Smith Hampton — U.K.</w:t>
            </w:r>
          </w:p>
        </w:tc>
        <w:tc>
          <w:tcPr>
            <w:tcW w:w="2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0" w:type="dxa"/>
            <w:vAlign w:val="bottom"/>
          </w:tcPr>
          <w:p>
            <w:pPr>
              <w:spacing w:after="0"/>
              <w:rPr>
                <w:sz w:val="23"/>
                <w:szCs w:val="23"/>
                <w:color w:val="auto"/>
              </w:rPr>
            </w:pP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Marcus &amp; Millichap</w:t>
            </w:r>
          </w:p>
        </w:tc>
        <w:tc>
          <w:tcPr>
            <w:tcW w:w="2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0" w:type="dxa"/>
            <w:vAlign w:val="bottom"/>
          </w:tcPr>
          <w:p>
            <w:pPr>
              <w:spacing w:after="0"/>
              <w:rPr>
                <w:sz w:val="23"/>
                <w:szCs w:val="23"/>
                <w:color w:val="auto"/>
              </w:rPr>
            </w:pP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Mohr Partners</w:t>
            </w:r>
          </w:p>
        </w:tc>
        <w:tc>
          <w:tcPr>
            <w:tcW w:w="2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0" w:type="dxa"/>
            <w:vAlign w:val="bottom"/>
          </w:tcPr>
          <w:p>
            <w:pPr>
              <w:spacing w:after="0"/>
              <w:rPr>
                <w:sz w:val="23"/>
                <w:szCs w:val="23"/>
                <w:color w:val="auto"/>
              </w:rPr>
            </w:pP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NAI Global</w:t>
            </w:r>
          </w:p>
        </w:tc>
        <w:tc>
          <w:tcPr>
            <w:tcW w:w="3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Retailers</w:t>
            </w:r>
          </w:p>
        </w:tc>
        <w:tc>
          <w:tcPr>
            <w:tcW w:w="4400" w:type="dxa"/>
            <w:vAlign w:val="bottom"/>
          </w:tcPr>
          <w:p>
            <w:pPr>
              <w:jc w:val="center"/>
              <w:spacing w:after="0"/>
              <w:rPr>
                <w:sz w:val="20"/>
                <w:szCs w:val="20"/>
                <w:color w:val="auto"/>
              </w:rPr>
            </w:pPr>
            <w:r>
              <w:rPr>
                <w:rFonts w:ascii="Arial" w:cs="Arial" w:eastAsia="Arial" w:hAnsi="Arial"/>
                <w:sz w:val="16"/>
                <w:szCs w:val="16"/>
                <w:b w:val="1"/>
                <w:bCs w:val="1"/>
                <w:color w:val="auto"/>
                <w:w w:val="87"/>
              </w:rPr>
              <w:t>Government Agencies</w:t>
            </w:r>
          </w:p>
        </w:tc>
      </w:tr>
      <w:tr>
        <w:trPr>
          <w:trHeight w:val="22"/>
        </w:trPr>
        <w:tc>
          <w:tcPr>
            <w:tcW w:w="3520" w:type="dxa"/>
            <w:vAlign w:val="bottom"/>
            <w:gridSpan w:val="2"/>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0" w:type="dxa"/>
            <w:vAlign w:val="bottom"/>
            <w:tcBorders>
              <w:bottom w:val="single" w:sz="8" w:color="auto"/>
            </w:tcBorders>
          </w:tcPr>
          <w:p>
            <w:pPr>
              <w:spacing w:after="0" w:line="20" w:lineRule="exact"/>
              <w:rPr>
                <w:sz w:val="1"/>
                <w:szCs w:val="1"/>
                <w:color w:val="auto"/>
              </w:rPr>
            </w:pPr>
          </w:p>
        </w:tc>
      </w:tr>
      <w:tr>
        <w:trPr>
          <w:trHeight w:val="229"/>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NB Real Estate — U.K.</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Carter's</w:t>
            </w:r>
          </w:p>
        </w:tc>
        <w:tc>
          <w:tcPr>
            <w:tcW w:w="4400" w:type="dxa"/>
            <w:vAlign w:val="bottom"/>
          </w:tcPr>
          <w:p>
            <w:pPr>
              <w:ind w:left="60"/>
              <w:spacing w:after="0"/>
              <w:rPr>
                <w:sz w:val="20"/>
                <w:szCs w:val="20"/>
                <w:color w:val="auto"/>
              </w:rPr>
            </w:pPr>
            <w:r>
              <w:rPr>
                <w:rFonts w:ascii="Arial" w:cs="Arial" w:eastAsia="Arial" w:hAnsi="Arial"/>
                <w:sz w:val="16"/>
                <w:szCs w:val="16"/>
                <w:color w:val="auto"/>
              </w:rPr>
              <w:t>City of Chicago</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Newmark Grubb Knight Frank</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Dollar General Corporation</w:t>
            </w:r>
          </w:p>
        </w:tc>
        <w:tc>
          <w:tcPr>
            <w:tcW w:w="4400" w:type="dxa"/>
            <w:vAlign w:val="bottom"/>
          </w:tcPr>
          <w:p>
            <w:pPr>
              <w:ind w:left="60"/>
              <w:spacing w:after="0"/>
              <w:rPr>
                <w:sz w:val="20"/>
                <w:szCs w:val="20"/>
                <w:color w:val="auto"/>
              </w:rPr>
            </w:pPr>
            <w:r>
              <w:rPr>
                <w:rFonts w:ascii="Arial" w:cs="Arial" w:eastAsia="Arial" w:hAnsi="Arial"/>
                <w:sz w:val="16"/>
                <w:szCs w:val="16"/>
                <w:color w:val="auto"/>
              </w:rPr>
              <w:t>Cook County Assessor’s Office</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Re/Max</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Jos. A Bank</w:t>
            </w:r>
          </w:p>
        </w:tc>
        <w:tc>
          <w:tcPr>
            <w:tcW w:w="4400" w:type="dxa"/>
            <w:vAlign w:val="bottom"/>
          </w:tcPr>
          <w:p>
            <w:pPr>
              <w:ind w:left="60"/>
              <w:spacing w:after="0"/>
              <w:rPr>
                <w:sz w:val="20"/>
                <w:szCs w:val="20"/>
                <w:color w:val="auto"/>
              </w:rPr>
            </w:pPr>
            <w:r>
              <w:rPr>
                <w:rFonts w:ascii="Arial" w:cs="Arial" w:eastAsia="Arial" w:hAnsi="Arial"/>
                <w:sz w:val="16"/>
                <w:szCs w:val="16"/>
                <w:color w:val="auto"/>
              </w:rPr>
              <w:t>County of Los Angeles</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Savills Commercial — U.K.</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Massage Envy</w:t>
            </w:r>
          </w:p>
        </w:tc>
        <w:tc>
          <w:tcPr>
            <w:tcW w:w="4400" w:type="dxa"/>
            <w:vAlign w:val="bottom"/>
          </w:tcPr>
          <w:p>
            <w:pPr>
              <w:ind w:left="60"/>
              <w:spacing w:after="0"/>
              <w:rPr>
                <w:sz w:val="20"/>
                <w:szCs w:val="20"/>
                <w:color w:val="auto"/>
              </w:rPr>
            </w:pPr>
            <w:r>
              <w:rPr>
                <w:rFonts w:ascii="Arial" w:cs="Arial" w:eastAsia="Arial" w:hAnsi="Arial"/>
                <w:sz w:val="16"/>
                <w:szCs w:val="16"/>
                <w:color w:val="auto"/>
              </w:rPr>
              <w:t>Federal Deposit Insurance Corporation</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Sperry Van Ness</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Petco</w:t>
            </w:r>
          </w:p>
        </w:tc>
        <w:tc>
          <w:tcPr>
            <w:tcW w:w="4400" w:type="dxa"/>
            <w:vAlign w:val="bottom"/>
          </w:tcPr>
          <w:p>
            <w:pPr>
              <w:ind w:left="60"/>
              <w:spacing w:after="0"/>
              <w:rPr>
                <w:sz w:val="20"/>
                <w:szCs w:val="20"/>
                <w:color w:val="auto"/>
              </w:rPr>
            </w:pPr>
            <w:r>
              <w:rPr>
                <w:rFonts w:ascii="Arial" w:cs="Arial" w:eastAsia="Arial" w:hAnsi="Arial"/>
                <w:sz w:val="16"/>
                <w:szCs w:val="16"/>
                <w:color w:val="auto"/>
              </w:rPr>
              <w:t>Federal Reserve Bank of New York</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Studley</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Rent-A-Center</w:t>
            </w:r>
          </w:p>
        </w:tc>
        <w:tc>
          <w:tcPr>
            <w:tcW w:w="4400" w:type="dxa"/>
            <w:vAlign w:val="bottom"/>
          </w:tcPr>
          <w:p>
            <w:pPr>
              <w:ind w:left="60"/>
              <w:spacing w:after="0"/>
              <w:rPr>
                <w:sz w:val="20"/>
                <w:szCs w:val="20"/>
                <w:color w:val="auto"/>
              </w:rPr>
            </w:pPr>
            <w:r>
              <w:rPr>
                <w:rFonts w:ascii="Arial" w:cs="Arial" w:eastAsia="Arial" w:hAnsi="Arial"/>
                <w:sz w:val="16"/>
                <w:szCs w:val="16"/>
                <w:color w:val="auto"/>
              </w:rPr>
              <w:t>Internal Revenue Service</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Transwestern</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Sony</w:t>
            </w:r>
          </w:p>
        </w:tc>
        <w:tc>
          <w:tcPr>
            <w:tcW w:w="4400" w:type="dxa"/>
            <w:vAlign w:val="bottom"/>
          </w:tcPr>
          <w:p>
            <w:pPr>
              <w:ind w:left="60"/>
              <w:spacing w:after="0"/>
              <w:rPr>
                <w:sz w:val="20"/>
                <w:szCs w:val="20"/>
                <w:color w:val="auto"/>
              </w:rPr>
            </w:pPr>
            <w:r>
              <w:rPr>
                <w:rFonts w:ascii="Arial" w:cs="Arial" w:eastAsia="Arial" w:hAnsi="Arial"/>
                <w:sz w:val="16"/>
                <w:szCs w:val="16"/>
                <w:color w:val="auto"/>
              </w:rPr>
              <w:t>Transportation Security Administration</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U.S. Equities Realty</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Spencer Gifts LLC</w:t>
            </w:r>
          </w:p>
        </w:tc>
        <w:tc>
          <w:tcPr>
            <w:tcW w:w="4400" w:type="dxa"/>
            <w:vAlign w:val="bottom"/>
          </w:tcPr>
          <w:p>
            <w:pPr>
              <w:ind w:left="60"/>
              <w:spacing w:after="0"/>
              <w:rPr>
                <w:sz w:val="20"/>
                <w:szCs w:val="20"/>
                <w:color w:val="auto"/>
              </w:rPr>
            </w:pPr>
            <w:r>
              <w:rPr>
                <w:rFonts w:ascii="Arial" w:cs="Arial" w:eastAsia="Arial" w:hAnsi="Arial"/>
                <w:sz w:val="16"/>
                <w:szCs w:val="16"/>
                <w:color w:val="auto"/>
              </w:rPr>
              <w:t>U.S. Department of Housing and Urban Development</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USI Real Estate Brokerage Services</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Starbucks</w:t>
            </w:r>
          </w:p>
        </w:tc>
        <w:tc>
          <w:tcPr>
            <w:tcW w:w="4400" w:type="dxa"/>
            <w:vAlign w:val="bottom"/>
          </w:tcPr>
          <w:p>
            <w:pPr>
              <w:ind w:left="60"/>
              <w:spacing w:after="0"/>
              <w:rPr>
                <w:sz w:val="20"/>
                <w:szCs w:val="20"/>
                <w:color w:val="auto"/>
              </w:rPr>
            </w:pPr>
            <w:r>
              <w:rPr>
                <w:rFonts w:ascii="Arial" w:cs="Arial" w:eastAsia="Arial" w:hAnsi="Arial"/>
                <w:sz w:val="16"/>
                <w:szCs w:val="16"/>
                <w:color w:val="auto"/>
              </w:rPr>
              <w:t>U.S. General Services Administration</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Weichert Commercial Brokerage</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Walgreens</w:t>
            </w:r>
          </w:p>
        </w:tc>
        <w:tc>
          <w:tcPr>
            <w:tcW w:w="4400" w:type="dxa"/>
            <w:vAlign w:val="bottom"/>
          </w:tcPr>
          <w:p>
            <w:pPr>
              <w:ind w:left="60"/>
              <w:spacing w:after="0"/>
              <w:rPr>
                <w:sz w:val="20"/>
                <w:szCs w:val="20"/>
                <w:color w:val="auto"/>
              </w:rPr>
            </w:pPr>
            <w:r>
              <w:rPr>
                <w:rFonts w:ascii="Arial" w:cs="Arial" w:eastAsia="Arial" w:hAnsi="Arial"/>
                <w:sz w:val="16"/>
                <w:szCs w:val="16"/>
                <w:color w:val="auto"/>
              </w:rPr>
              <w:t>Valuation Office Agency — U.K.</w:t>
            </w:r>
          </w:p>
        </w:tc>
      </w:tr>
      <w:tr>
        <w:trPr>
          <w:trHeight w:val="513"/>
        </w:trPr>
        <w:tc>
          <w:tcPr>
            <w:tcW w:w="3520" w:type="dxa"/>
            <w:vAlign w:val="bottom"/>
            <w:gridSpan w:val="2"/>
          </w:tcPr>
          <w:p>
            <w:pPr>
              <w:ind w:left="1480"/>
              <w:spacing w:after="0"/>
              <w:rPr>
                <w:sz w:val="20"/>
                <w:szCs w:val="20"/>
                <w:color w:val="auto"/>
              </w:rPr>
            </w:pPr>
            <w:r>
              <w:rPr>
                <w:rFonts w:ascii="Arial" w:cs="Arial" w:eastAsia="Arial" w:hAnsi="Arial"/>
                <w:sz w:val="16"/>
                <w:szCs w:val="16"/>
                <w:b w:val="1"/>
                <w:bCs w:val="1"/>
                <w:color w:val="auto"/>
              </w:rPr>
              <w:t>REITs</w:t>
            </w:r>
          </w:p>
        </w:tc>
        <w:tc>
          <w:tcPr>
            <w:tcW w:w="3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Property Managers</w:t>
            </w:r>
          </w:p>
        </w:tc>
        <w:tc>
          <w:tcPr>
            <w:tcW w:w="4400" w:type="dxa"/>
            <w:vAlign w:val="bottom"/>
          </w:tcPr>
          <w:p>
            <w:pPr>
              <w:jc w:val="center"/>
              <w:spacing w:after="0"/>
              <w:rPr>
                <w:sz w:val="20"/>
                <w:szCs w:val="20"/>
                <w:color w:val="auto"/>
              </w:rPr>
            </w:pPr>
            <w:r>
              <w:rPr>
                <w:rFonts w:ascii="Arial" w:cs="Arial" w:eastAsia="Arial" w:hAnsi="Arial"/>
                <w:sz w:val="16"/>
                <w:szCs w:val="16"/>
                <w:b w:val="1"/>
                <w:bCs w:val="1"/>
                <w:color w:val="auto"/>
                <w:w w:val="87"/>
              </w:rPr>
              <w:t>Vendors</w:t>
            </w:r>
          </w:p>
        </w:tc>
      </w:tr>
      <w:tr>
        <w:trPr>
          <w:trHeight w:val="49"/>
        </w:trPr>
        <w:tc>
          <w:tcPr>
            <w:tcW w:w="34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400" w:type="dxa"/>
            <w:vAlign w:val="bottom"/>
            <w:tcBorders>
              <w:bottom w:val="single" w:sz="8" w:color="auto"/>
            </w:tcBorders>
          </w:tcPr>
          <w:p>
            <w:pPr>
              <w:spacing w:after="0"/>
              <w:rPr>
                <w:sz w:val="4"/>
                <w:szCs w:val="4"/>
                <w:color w:val="auto"/>
              </w:rPr>
            </w:pPr>
          </w:p>
        </w:tc>
      </w:tr>
      <w:tr>
        <w:trPr>
          <w:trHeight w:val="229"/>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Boston Properties</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AP Commercial</w:t>
            </w:r>
          </w:p>
        </w:tc>
        <w:tc>
          <w:tcPr>
            <w:tcW w:w="4400" w:type="dxa"/>
            <w:vAlign w:val="bottom"/>
          </w:tcPr>
          <w:p>
            <w:pPr>
              <w:ind w:left="60"/>
              <w:spacing w:after="0"/>
              <w:rPr>
                <w:sz w:val="20"/>
                <w:szCs w:val="20"/>
                <w:color w:val="auto"/>
              </w:rPr>
            </w:pPr>
            <w:r>
              <w:rPr>
                <w:rFonts w:ascii="Arial" w:cs="Arial" w:eastAsia="Arial" w:hAnsi="Arial"/>
                <w:sz w:val="16"/>
                <w:szCs w:val="16"/>
                <w:color w:val="auto"/>
              </w:rPr>
              <w:t>Comcast Corporation</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Brandywine Realty Trust</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Elliott Associates</w:t>
            </w:r>
          </w:p>
        </w:tc>
        <w:tc>
          <w:tcPr>
            <w:tcW w:w="4400" w:type="dxa"/>
            <w:vAlign w:val="bottom"/>
          </w:tcPr>
          <w:p>
            <w:pPr>
              <w:ind w:left="60"/>
              <w:spacing w:after="0"/>
              <w:rPr>
                <w:sz w:val="20"/>
                <w:szCs w:val="20"/>
                <w:color w:val="auto"/>
              </w:rPr>
            </w:pPr>
            <w:r>
              <w:rPr>
                <w:rFonts w:ascii="Arial" w:cs="Arial" w:eastAsia="Arial" w:hAnsi="Arial"/>
                <w:sz w:val="16"/>
                <w:szCs w:val="16"/>
                <w:color w:val="auto"/>
              </w:rPr>
              <w:t>Cox Communications</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Duke Realty Corporation</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Leggat McCall Properties</w:t>
            </w:r>
          </w:p>
        </w:tc>
        <w:tc>
          <w:tcPr>
            <w:tcW w:w="4400" w:type="dxa"/>
            <w:vAlign w:val="bottom"/>
          </w:tcPr>
          <w:p>
            <w:pPr>
              <w:ind w:left="60"/>
              <w:spacing w:after="0"/>
              <w:rPr>
                <w:sz w:val="20"/>
                <w:szCs w:val="20"/>
                <w:color w:val="auto"/>
              </w:rPr>
            </w:pPr>
            <w:r>
              <w:rPr>
                <w:rFonts w:ascii="Arial" w:cs="Arial" w:eastAsia="Arial" w:hAnsi="Arial"/>
                <w:sz w:val="16"/>
                <w:szCs w:val="16"/>
                <w:color w:val="auto"/>
              </w:rPr>
              <w:t>Kastle Systems</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KBS Realty Advisors</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Lincoln Property Company</w:t>
            </w:r>
          </w:p>
        </w:tc>
        <w:tc>
          <w:tcPr>
            <w:tcW w:w="4400" w:type="dxa"/>
            <w:vAlign w:val="bottom"/>
          </w:tcPr>
          <w:p>
            <w:pPr>
              <w:ind w:left="60"/>
              <w:spacing w:after="0"/>
              <w:rPr>
                <w:sz w:val="20"/>
                <w:szCs w:val="20"/>
                <w:color w:val="auto"/>
              </w:rPr>
            </w:pPr>
            <w:r>
              <w:rPr>
                <w:rFonts w:ascii="Arial" w:cs="Arial" w:eastAsia="Arial" w:hAnsi="Arial"/>
                <w:sz w:val="16"/>
                <w:szCs w:val="16"/>
                <w:color w:val="auto"/>
              </w:rPr>
              <w:t>Regus</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Kimco Realty Corporation</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Navisys Group</w:t>
            </w:r>
          </w:p>
        </w:tc>
        <w:tc>
          <w:tcPr>
            <w:tcW w:w="4400" w:type="dxa"/>
            <w:vAlign w:val="bottom"/>
          </w:tcPr>
          <w:p>
            <w:pPr>
              <w:ind w:left="60"/>
              <w:spacing w:after="0"/>
              <w:rPr>
                <w:sz w:val="20"/>
                <w:szCs w:val="20"/>
                <w:color w:val="auto"/>
              </w:rPr>
            </w:pPr>
            <w:r>
              <w:rPr>
                <w:rFonts w:ascii="Arial" w:cs="Arial" w:eastAsia="Arial" w:hAnsi="Arial"/>
                <w:sz w:val="16"/>
                <w:szCs w:val="16"/>
                <w:color w:val="auto"/>
              </w:rPr>
              <w:t>Time Warner Cable</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Simon Property Group</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Osprey Management Company</w:t>
            </w:r>
          </w:p>
        </w:tc>
        <w:tc>
          <w:tcPr>
            <w:tcW w:w="4400" w:type="dxa"/>
            <w:vAlign w:val="bottom"/>
          </w:tcPr>
          <w:p>
            <w:pPr>
              <w:ind w:left="60"/>
              <w:spacing w:after="0"/>
              <w:rPr>
                <w:sz w:val="20"/>
                <w:szCs w:val="20"/>
                <w:color w:val="auto"/>
              </w:rPr>
            </w:pPr>
            <w:r>
              <w:rPr>
                <w:rFonts w:ascii="Arial" w:cs="Arial" w:eastAsia="Arial" w:hAnsi="Arial"/>
                <w:sz w:val="16"/>
                <w:szCs w:val="16"/>
                <w:color w:val="auto"/>
              </w:rPr>
              <w:t>Turner Construction Company</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Vornado/Charles E. Smith</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PM Realty Group</w:t>
            </w:r>
          </w:p>
        </w:tc>
        <w:tc>
          <w:tcPr>
            <w:tcW w:w="4400" w:type="dxa"/>
            <w:vAlign w:val="bottom"/>
          </w:tcPr>
          <w:p>
            <w:pPr>
              <w:ind w:left="60"/>
              <w:spacing w:after="0"/>
              <w:rPr>
                <w:sz w:val="20"/>
                <w:szCs w:val="20"/>
                <w:color w:val="auto"/>
              </w:rPr>
            </w:pPr>
            <w:r>
              <w:rPr>
                <w:rFonts w:ascii="Arial" w:cs="Arial" w:eastAsia="Arial" w:hAnsi="Arial"/>
                <w:sz w:val="16"/>
                <w:szCs w:val="16"/>
                <w:color w:val="auto"/>
              </w:rPr>
              <w:t>Verizon Communications</w:t>
            </w:r>
          </w:p>
        </w:tc>
      </w:tr>
    </w:tbl>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years ended December 31, 2011, 2012 and 2013, no single client accounted for more than 5% of our revenues.</w:t>
      </w:r>
    </w:p>
    <w:p>
      <w:pPr>
        <w:sectPr>
          <w:pgSz w:w="11900" w:h="16838" w:orient="portrait"/>
          <w:cols w:equalWidth="0" w:num="1">
            <w:col w:w="11420"/>
          </w:cols>
          <w:pgMar w:left="240" w:top="580" w:right="239" w:bottom="487"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580" w:right="239" w:bottom="487"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As of January 31, 2014, we had 559 sales, marketing and customer support employees, with the majority of our direct sales force located in field sales offices. Our sales teams are primarily located in 30 field sales offices throughout the U.S. and in offices located in London, England; Manchester, England; Glasgow, Scotland; Paris, France and Toronto, Canada. Our inside sales teams are located in our Washington, DC; San Francisco, California; and Glendora, California offices. These teams prospect for new clients and perform service demonstrations exclusively by telephone and over the Internet to support the direct sales force. A portion of the inside sales teams are also responsible for selling some of our services.</w:t>
      </w:r>
    </w:p>
    <w:p>
      <w:pPr>
        <w:spacing w:after="0" w:line="173"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Our local offices typically serve as the platform for our in-market sales, customer support and field research operations for their respective regions. The sales force is responsible for selling to new prospects, training new and existing clients, providing ongoing customer support, renewing existing client contracts and identifying cross-selling opportunities. In addition, the sales force has primary front line responsibility for customer care.</w:t>
      </w:r>
    </w:p>
    <w:p>
      <w:pPr>
        <w:spacing w:after="0" w:line="1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sales strategy is to aggressively attract new clients, while providing ongoing incentives for existing clients to subscribe to additional services. We actively manage client accounts in order to retain clients by providing frequent service demonstrations as well as company-client contact and communication. We place a premium on training new and existing client personnel on the use of our services so as to promote maximum client utilization and satisfaction with our services. Our strategy also involves entering into multi-year, multi-market license agreements with our larger clients.</w:t>
      </w:r>
    </w:p>
    <w:p>
      <w:pPr>
        <w:spacing w:after="0" w:line="17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seek to make our services essential to our clients’ businesses. To encourage clients to use our services regularly, we generally charge a fixed monthly amount for our subscription-based information services rather than fees based on actual system usage. Contract rates for subscription-based services are generally based on the number of sites, number of users, organization size, the client’s business focus, geography and the number of services to which a client subscribes. Our subscription clients generally pay contract fees on a monthly basis, but in some cases may pay us on a quarterly or annual basis.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customer service and support staff is charged with ensuring high client satisfaction by providing ongoing customer support.</w:t>
      </w:r>
    </w:p>
    <w:p>
      <w:pPr>
        <w:spacing w:after="0" w:line="2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7"/>
          <w:szCs w:val="17"/>
          <w:color w:val="auto"/>
        </w:rPr>
        <w:t>Our primary marketing methods include: service demonstrations; face to face networking; web-based marketing; direct marketing; communication via our corporate website and news services; participation in trade show and industry events; Company-sponsored events; print advertising in trade magazines and other business publications; client referrals; CoStar Advisor</w:t>
      </w:r>
      <w:r>
        <w:rPr>
          <w:rFonts w:ascii="Arial" w:cs="Arial" w:eastAsia="Arial" w:hAnsi="Arial"/>
          <w:sz w:val="24"/>
          <w:szCs w:val="24"/>
          <w:color w:val="auto"/>
          <w:vertAlign w:val="superscript"/>
        </w:rPr>
        <w:t>TM</w:t>
      </w:r>
      <w:r>
        <w:rPr>
          <w:rFonts w:ascii="Arial" w:cs="Arial" w:eastAsia="Arial" w:hAnsi="Arial"/>
          <w:sz w:val="17"/>
          <w:szCs w:val="17"/>
          <w:color w:val="auto"/>
        </w:rPr>
        <w:t>, LoopNews</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and other company newsletters distributed via email to our clients and prospects. We currently offer dozens of webinars each year aimed at helping customers learn more about the commercial real estate industry and how to use our services. The webinars are available both as live presentations and as on-demand programs hosted on our website. On a monthly basis, we issue the CoStar Commercial Repeat Sales Index ("CCRSI"), a comprehensive set of benchmarks that investors and other market participants can use to better understand commercial real estate price movements. The Index is produced using our underlying data and is publicly distributed by CoStar through the news media and made available online at www.costar.com/ccrsi.</w:t>
      </w:r>
    </w:p>
    <w:p>
      <w:pPr>
        <w:spacing w:after="0" w:line="19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Web-based marketing and direct marketing are the most cost-effective means for us to find prospective clients. Our web-based marketing efforts include search engine optimization, paid advertising with major search engines and display advertising on commercial real estate news and business websites and mobile applications, and our direct marketing efforts include direct mail, email and telemarketing, and make extensive use of our unique, proprietary database. Once we have identified a prospective client, our most effective sales method is a service demonstration. We use various forms of advertising to build brand identity and reinforce the value and benefits of our services. We also sponsor and attend local association activities and events, including industry-leading events for commercial real estate brokers, owner/investors and retail and financial services institutions, and attend and/or exhibit at industry trade shows and conferences to reinforce our relationships with our core user groups.</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sales and marketing efforts have focused and will continue to focus on cross-selling and marketing our services. For example, after the acquisition of LoopNet, we launched a sales and marketing campaign to cross-sell CoStar's information services to LoopNet customers and cross-sell LoopNet's marketing services to CoStar customers. We recently implemented an automatic cross-selling initiative within the LoopNet marketplace. As searchers view properties within the LoopNet marketplace, a message may appear indicating that there are additional listings available within CoStar Suite with the same search criteria that they are not able to access under their current subscription. The message provides contact information, so that the customer can reach their customer service or sales representative and review the most appropriate service for their needs. Our goal is to upsell clients to the services that best meet their needs and to create further cross-selling revenue synergies. In addition, we have added a comparison feature to CoStarGo, which allows our sales force to demonstrate how many more properties a prospect could see with respect to a particular search area if that prospect were using CoStar rather than the prospect’s current subscription with LoopNet.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market for information, analytics and marketing services generally is competitive and rapidly changing. In the commercial real estate industry, the principal competitive factors for commercial real estate information, analytics and marketing services and providers are:</w:t>
      </w:r>
    </w:p>
    <w:p>
      <w:pPr>
        <w:spacing w:after="0" w:line="1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quality and depth of the underlying databases;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ease of use, flexibility, and functionality of the software;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timeliness of the data;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breadth of geographic coverage and services offered;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client service and support;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perception that the service offered is the industry standard;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effectiveness of marketing and sales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proprietary nature of methodologies, databases and technical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vendor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brand loyalty among customers;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compete directly and indirectly for customers with the following categories of companies:</w:t>
      </w:r>
    </w:p>
    <w:p>
      <w:pPr>
        <w:spacing w:after="0" w:line="225" w:lineRule="exact"/>
        <w:rPr>
          <w:sz w:val="20"/>
          <w:szCs w:val="20"/>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online marketing services or websites targeted to commercial real estate brokers, buyers and sellers of commercial real estate properties, insurance companies, mortgage brokers and lenders, such as commercialsearch.com, PropertyLine.com, Reed Business Information Limited, officespace.com, MrOfficeSpace.com, TenantWise, www.propertyshark.com, Rofo, BuildingSearch.com, CIMLS, CompStak, Rightmove, WorkplaceIQ, RealPoint LLC and estatesgazette.com;</w:t>
      </w:r>
    </w:p>
    <w:p>
      <w:pPr>
        <w:spacing w:after="0" w:line="18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publishers and distributors of information, analytics and marketing services, including regional providers and national print publications, such as Xceligent, eProperty Data, CBRE Economic Advisors, Marshall &amp; Swift, Yale Robbins, Reis, Real Capital Analytics and The Smith Guide;</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locally controlled real estate boards, exchanges or associations sponsoring property listing services and the companies with whom they partner, such as Xceligent, eProperty Data, Catalyst, the National Association of Realtors, CCIM Institute, Society of Industrial and Office Realtors, the Commercial Association of Realtors Data Services and the Association of Industrial Realtors;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real estate portfolio management software solutions, such as Cougar Software, MRI Software, Altus and Intuit;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real estate lease management and administration software solutions, such as Accruent, Tririga, Manhattan Software and AMT;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in-house research departments operated by commercial real estate brokers;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public record providers.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the commercial real estate information, analytics and marketing services marketplace develops, additional competitors (including companies which could have greater access to data, financial, product development, technical, analytic or marketing resources than we do) may enter the market and competition may intensify. A company like Bloomberg L.P. has the resources and has previously announced an intention to move into the commercial real estate information business. Further, a company like Google, which has a far-reaching web presence and substantial data aggregation capabilities, could enter the commercial real estate marketing arena. While we believe that we have successfully differentiated ourselves from existing competitors, current or future competitors could materially harm our business.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Proprietary Rights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protect our proprietary rights in our methodologies, database, software, trademarks and other intellectual property, we depend upon a combination of:</w:t>
      </w:r>
    </w:p>
    <w:p>
      <w:pPr>
        <w:spacing w:after="0" w:line="24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 secret, misappropriation, copyright, trademark, computer fraud, database protection and other laws;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registration of copyrights and trademarks;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nondisclosure, noncompetition and other contractual provisions with employees and consultants;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license agreements with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patent protection;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technical measures.</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seek to protect our software’s source code, our database and our photography as trade secrets and under copyright law. Although copyright registration is not a prerequisite for copyright protection, we have filed for copyright registration for many of our databases, photographs, software and other materials. Under current U.S. copyright law, the arrangement and selection of data may be protected, but the actual data itself may not be. Certain U.K. database protection laws provide additional protections for our U.K. databases. We license our services under license agreements that grant our clients non-exclusive, non-transferable rights. These agreements restrict the disclosure and use of our information and prohibit the unauthorized reproduction or transfer of any of our proprietary information, methodologies or analytics.</w:t>
      </w:r>
    </w:p>
    <w:p>
      <w:pPr>
        <w:spacing w:after="0" w:line="19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also attempt to protect our proprietary databases, our trade secrets and our proprietary information through confidentiality and noncompetition agreements with our employees and consultants. Our services also include technical measures designed to detect, discourage and prevent unauthorized copying of our intellectual property. We have established an internal antipiracy team that uses fraud-detection technology to continually monitor use of our services to detect and prevent unauthorized access, and we actively prosecute individuals and firms that engage in this unlawful activity.</w:t>
      </w:r>
    </w:p>
    <w:p>
      <w:pPr>
        <w:spacing w:after="0" w:line="15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maintain U.S. and international trademark registrations for CoStar’s core service names and proactively file U.S. and international trademark applications covering our new and planned service names. Our federally registered trademarks include CoStar®, CoStar Property®, COMPS®, CoStarGo®, CoStar Showcase®, and LoopNet®, among many others. In the U.S., trademarks are generally valid as long as they are in use and have not been found to be generic. We consider our trademarks in the aggregate to constitute a valuable asset. In addition, we maintain a patent portfolio that protects certain of our systems and methodologies. We currently have one granted patent in the U.K., which expires in 2021, covering, among other things, certain of our field research methodologies and six granted patents in the U.S. which expire in 2020, 2021, 2022, 2023 (2 patents) and 2025, respectively, covering, among other things, critical elements of CoStar’s proprietary field research technology and mapping tools. We regard the rights protected by our patents as valuable to our business, but do not believe that our business is materially dependent on any single patent or on our portfolio of patents as a whole.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January 31, 2014, we employed 2,046 employees. None of our employees are represented by a labor union. We have experienced no work stoppages. We believe that our employee relations are excellent.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investor relations internet website is http://www.costar.com/investors.aspx. The reports we file with or furnish to the Securities and Exchange Commission, including our annual report, quarterly reports and current reports, as well as amendments to those reports, are available free of charge on our internet website as soon as reasonably practicable after we electronically file such material with, or furnish it to, the Securities and Exchange Commission. You may review and copy any of the information we file with the Securities and Exchange Commission at the Commission's Public Reference Room at 100 F Street, NE, Washington, DC 20549. You may obtain information regarding the operation of the Public Reference Room by calling the Securities and Exchange Commission at 1-800-SEC-0330. The Securities and Exchange Commission maintains an internet site that contains reports, proxy and information statements, and other information regarding issuers that file electronically with the Commission at http://www.sec.gov.</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0" w:right="239" w:bottom="1440" w:gutter="0" w:footer="0" w:header="0"/>
        </w:sectPr>
      </w:pPr>
    </w:p>
    <w:bookmarkStart w:id="17" w:name="page18"/>
    <w:bookmarkEnd w:id="17"/>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have made forward-looking statements in this Report and make forward-looking statements in our press releases and conference calls that are subject to risks and uncertainties. Forward-looking statements include information that is not purely historic fact and include, without limitation, statements concerning our financial outlook for 2014 and beyond, our possible or assumed future results of operations generally, and other statements and information regarding assumptions about our revenues, EBITDA, adjusted EBITDA, non-GAAP net income, non-GAAP net income per share, net income per share, fully diluted net income per share, weighted-average outstanding shares, taxable income, cash flow from operating activities, available cash, operating costs, amortization expense, intangible asset recovery, capital and other expenditures, effective tax rate, equity compensation charges, future taxable income, purchase amortization, the anticipated benefits of completed acquisitions, the anticipated benefits of cross-selling efforts, the timing of future payments of principal under our $175.0 million term loan facility available to us under a credit agreement (as amended, the “Credit Agreement”), expectations regarding our compliance with financial and restrictive covenants in our Credit Agreement, acquisitions, financing plans, geographic expansion, product development and release, sales and marketing campaigns, product integrations, elimination and de-emphasizing of services, contract renewal rate, capital structure, contractual obligations, legal proceedings and claims, our database, database growth, services and facilities, employee relations, future economic performance, our ability to liquidate or realize our long-term investments, management’s plans, goals and objectives for future operations, and growth and markets for our stock. Sections of this Report which contain forward-looking statements include “Business,” “Risk Factors,” “Properties,” “Legal Proceedings,” “Management’s Discussion and Analysis of Financial Condition and Results of Operations,” “Quantitative and Qualitative Disclosures About Market Risk,” “Controls and Procedures” and the Financial Statements and related Notes.</w:t>
      </w:r>
    </w:p>
    <w:p>
      <w:pPr>
        <w:spacing w:after="0" w:line="183"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Our forward-looking statements are also identified by words such as “hope,” “anticipate,” “may,” “believe,” “expect,” “intend,” “will,” “should,” “plan,” “estimate,” “predict,” “continue” and “potential” or the negative of these terms or other comparable terminology. You should understand that these forward-looking statements are estimates reflecting our judgment, beliefs and expectations, not guarantees of future performance. They are subject to a number of assumptions, risks and uncertainties that could cause actual results to differ materially from those expressed or implied in the forward-looking statements. The following important factors, in addition to those discussed or referred to under the heading “Risk Factors,” and other unforeseen events or circumstances, could affect our future results and could cause those results or other outcomes to differ materially from those expressed or implied in our forward-looking statements: commercial real estate market conditions; the pace of recovery in the commercial real estate market; general economic conditions; our ability to identify, acquire and integrate acquisition candidates; our ability to realize the expected benefits, cost savings or other synergies from acquisitions on a timely basis or at all; our ability to combine the acquired businesses successfully or in a timely and cost-efficient manner; business disruption relating to integration of acquired businesses; the amount of investment for sales and marketing related to cross-selling services of acquired businesses, the amount of investment for sales and marketing initiatives with respect to product enhancements and releases, and/or the amount of investment in CoStarGo or other marketing initiatives; the time and resources required to develop upgraded services and expansion of service offerings; changes or consolidations within the commercial real estate industry; customer retention; our ability to attract new clients; our ability to sell additional services to existing clients; our ability to integrate our U.S. and international product offerings; our ability to successfully introduce new products or upgraded services in U.S. and foreign markets; our ability to effectively and strategically combine, eliminate or de-emphasize service offerings; competition; foreign currency fluctuations; global credit market conditions affecting investments; our ability to continue to expand successfully, timely and in a cost-efficient manner, including internationally; our ability to effectively penetrate the market for retail real estate information and gain acceptance in that market; our ability to control costs; litigation; changes in accounting policies or practices; release of new and upgraded services or entry into new markets by us or our competitors; data quality; growth and development of our sales force; employee retention; technical problems with our services; managerial execution; changes in relationships with real estate brokers and other strategic partners; legal and regulatory issues; and successful adoption of and training on our services.</w:t>
      </w:r>
    </w:p>
    <w:p>
      <w:pPr>
        <w:spacing w:after="0" w:line="1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Accordingly, you should not place undue reliance on forward-looking statements, which speak only as of, and are based on information available to us on, the date of this Report. All subsequent written and oral forward-looking statements attributable to us or any person acting on our behalf are expressly qualified in their entirety by the cautionary statements contained or referred to in this section. We do not undertake any obligation to update any such statements or release publicly any revisions to these forward-looking statements to reflect new information or events or circumstances after the date of this Report or to reflect the occurrence of unanticipated events.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Our revenues and financial position will be adversely affected if we are not able to attract and retain clients</w:t>
      </w:r>
      <w:r>
        <w:rPr>
          <w:rFonts w:ascii="Arial" w:cs="Arial" w:eastAsia="Arial" w:hAnsi="Arial"/>
          <w:sz w:val="17"/>
          <w:szCs w:val="17"/>
          <w:color w:val="auto"/>
        </w:rPr>
        <w:t>. Our success and revenues depend on</w:t>
      </w:r>
      <w:r>
        <w:rPr>
          <w:rFonts w:ascii="Arial" w:cs="Arial" w:eastAsia="Arial" w:hAnsi="Arial"/>
          <w:sz w:val="17"/>
          <w:szCs w:val="17"/>
          <w:i w:val="1"/>
          <w:iCs w:val="1"/>
          <w:color w:val="auto"/>
        </w:rPr>
        <w:t xml:space="preserve"> </w:t>
      </w:r>
      <w:r>
        <w:rPr>
          <w:rFonts w:ascii="Arial" w:cs="Arial" w:eastAsia="Arial" w:hAnsi="Arial"/>
          <w:sz w:val="17"/>
          <w:szCs w:val="17"/>
          <w:color w:val="auto"/>
        </w:rPr>
        <w:t>attracting and retaining subscribers to our information, analytics and marketing services. Our subscription-based information, analytics and marketing services generate the largest portion of our revenues. However, we may be unable to attract new clients, and our existing clients may decide not to add, not to renew or to cancel subscription services. In addition, in order to increase our revenue, we must continue to attract new customers, continue to keep our cancellation rate low and continue to sell new services to our existing customers. We may not be able to continue to grow our customer base, keep the cancellation rate for customers and services low or sell new services to existing customers as a result of several factors, including without limitation: economic pressures; the business failure of a current client or clients; a decision that customers have no need for our services; a decision to use alternative services; customers’ and potential customers’ pricing and budgetary constraints; consolidation in the real estate and/or financial services industries; data quality; technical problems; or competitive pressures. If clients cancel services or decide not to renew their subscription agreements, and we do not sell new services to our existing clients or attract new clients, then our renewal rate and revenues may decline.</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A downturn or consolidation in the commercial real estate industry may decrease customer demand for our services</w:t>
      </w:r>
      <w:r>
        <w:rPr>
          <w:rFonts w:ascii="Arial" w:cs="Arial" w:eastAsia="Arial" w:hAnsi="Arial"/>
          <w:sz w:val="17"/>
          <w:szCs w:val="17"/>
          <w:color w:val="auto"/>
        </w:rPr>
        <w:t>. A reversal of recent improvements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commercial real estate industry’s leasing activity and absorption rates or a renewed downturn in the commercial real estate market may affect our ability to generate revenues and may lead to more cancellations by our current or future customers, either of which could cause our revenues or our revenue growth rate to decline and reduce our profitability. A depressed commercial real estate market has a negative impact on our core customer base, which could decrease demand for our information, analytics and marketing services. Also, companies in this industry are consolidating, often in order to reduce expenses. Consolidation, or other cost-cutting measures by our customers, may lead to more cancellations of our information, analytics and marketing services by our customers, reduce the number of our existing clients, reduce the size of our target market or increase our clients’ bargaining power, all of which could cause our revenues to decline and reduce our profitability.</w:t>
      </w:r>
    </w:p>
    <w:p>
      <w:pPr>
        <w:spacing w:after="0" w:line="17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Negative general economic conditions could increase our expenses and reduce our revenues</w:t>
      </w:r>
      <w:r>
        <w:rPr>
          <w:rFonts w:ascii="Arial" w:cs="Arial" w:eastAsia="Arial" w:hAnsi="Arial"/>
          <w:sz w:val="16"/>
          <w:szCs w:val="16"/>
          <w:color w:val="auto"/>
        </w:rPr>
        <w:t>. Our business and the commercial real estate industry are</w:t>
      </w:r>
      <w:r>
        <w:rPr>
          <w:rFonts w:ascii="Arial" w:cs="Arial" w:eastAsia="Arial" w:hAnsi="Arial"/>
          <w:sz w:val="16"/>
          <w:szCs w:val="16"/>
          <w:i w:val="1"/>
          <w:iCs w:val="1"/>
          <w:color w:val="auto"/>
        </w:rPr>
        <w:t xml:space="preserve"> </w:t>
      </w:r>
      <w:r>
        <w:rPr>
          <w:rFonts w:ascii="Arial" w:cs="Arial" w:eastAsia="Arial" w:hAnsi="Arial"/>
          <w:sz w:val="16"/>
          <w:szCs w:val="16"/>
          <w:color w:val="auto"/>
        </w:rPr>
        <w:t>particularly affected by negative trends in the general economy. The success of our business depends on a number of factors relating to general global, national, regional and local economic conditions, including perceived and actual economic conditions, recessions, inflation, deflation, exchange rates, interest rates, taxation policies, availability of credit, employment levels, and wage and salary levels. Negative general economic conditions could adversely affect our business by reducing our revenues and profitability. If we experience greater cancellations or reductions of services and failures to timely pay, and we do not acquire new clients or sell new services to our existing clients, our revenues may decline and our financial position would be adversely affected. Adverse national and global economic events, as well as any significant terrorist attack, are likely to have a dampening effect on the economy in general, which could negatively affect our financial performance and our stock price. Market disruptions may also contribute to extreme price and volume fluctuations in the stock market that may affect our stock price for reasons unrelated to our operating performance. In addition, a significant increase in inflation could increase our expenses more rapidly than expected, the effect of which may not be offset by corresponding increases in revenue. Conversely, deflation resulting in a decline of prices could reduce our revenues. In the current economic environment, it is difficult to predict whether we will experience significant inflation or deflation in the near future. A significant increase in either could have an adverse effect on our results of operations.</w:t>
      </w:r>
    </w:p>
    <w:p>
      <w:pPr>
        <w:spacing w:after="0" w:line="16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If we are unable to hire qualified persons for, or retain and continue to develop, our sales force, or if our sales force is unproductive, our revenues could be adversely affected. </w:t>
      </w:r>
      <w:r>
        <w:rPr>
          <w:rFonts w:ascii="Arial" w:cs="Arial" w:eastAsia="Arial" w:hAnsi="Arial"/>
          <w:sz w:val="17"/>
          <w:szCs w:val="17"/>
          <w:color w:val="auto"/>
        </w:rPr>
        <w:t>In order to support revenues and future revenue growth, we need to continue to develop, train and retain our sales force. Our ability to</w:t>
      </w:r>
      <w:r>
        <w:rPr>
          <w:rFonts w:ascii="Arial" w:cs="Arial" w:eastAsia="Arial" w:hAnsi="Arial"/>
          <w:sz w:val="17"/>
          <w:szCs w:val="17"/>
          <w:i w:val="1"/>
          <w:iCs w:val="1"/>
          <w:color w:val="auto"/>
        </w:rPr>
        <w:t xml:space="preserve"> </w:t>
      </w:r>
      <w:r>
        <w:rPr>
          <w:rFonts w:ascii="Arial" w:cs="Arial" w:eastAsia="Arial" w:hAnsi="Arial"/>
          <w:sz w:val="17"/>
          <w:szCs w:val="17"/>
          <w:color w:val="auto"/>
        </w:rPr>
        <w:t>build and develop a strong sales force may be affected by a number of factors, including: our ability to attract, integrate and motivate sales personnel; our ability to effectively train our sales force; the ability of our sales force to sell an increased number and different types of services; our ability to manage effectively an outbound telesales group; the length of time it takes new sales personnel to become productive; the competition we face from other companies in hiring and retaining sales personnel; our ability to effectively structure our sales force; and our ability to effectively manage a multi-location sales organization. If we are unable to hire qualified sales personnel and develop and retain the members of our sales force, including sales force management, or if our sales force is unproductive, our revenues or growth rate could decline and our expenses could increase.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9" w:name="page20"/>
    <w:bookmarkEnd w:id="19"/>
    <w:p>
      <w:pPr>
        <w:jc w:val="both"/>
        <w:ind w:firstLine="324"/>
        <w:spacing w:after="0" w:line="271" w:lineRule="auto"/>
        <w:rPr>
          <w:sz w:val="20"/>
          <w:szCs w:val="20"/>
          <w:color w:val="auto"/>
        </w:rPr>
      </w:pPr>
      <w:r>
        <w:rPr>
          <w:rFonts w:ascii="Arial" w:cs="Arial" w:eastAsia="Arial" w:hAnsi="Arial"/>
          <w:sz w:val="17"/>
          <w:szCs w:val="17"/>
          <w:i w:val="1"/>
          <w:iCs w:val="1"/>
          <w:color w:val="auto"/>
        </w:rPr>
        <w:t>Our current or future geographic expansion plans may not result in increased revenues, which may negatively impact our business, results of operations and financial position</w:t>
      </w:r>
      <w:r>
        <w:rPr>
          <w:rFonts w:ascii="Arial" w:cs="Arial" w:eastAsia="Arial" w:hAnsi="Arial"/>
          <w:sz w:val="17"/>
          <w:szCs w:val="17"/>
          <w:color w:val="auto"/>
        </w:rPr>
        <w:t>. Expanding into new markets and investing resources towards increasing the depth of our coverage within existing markets imposes</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burdens on our research, systems development, sales, marketing and general managerial resources. During 2014, we plan to continue to increase the depth of our coverage in the U.S. and U.K., and we expect to expand into additional geographies including Toronto, Canada. If we are unable to manage our expansion efforts effectively, if our expansion efforts take longer than planned or if our costs for these efforts exceed our expectations, our financial position could be adversely affected. In addition, if we incur significant costs to improve data quality within existing markets, or are not successful in marketing and selling our services in these markets or in new markets, our expansion may have a material adverse effect on our financial position by increasing our expenses without increasing our revenues, adversely affecting our profitability.</w:t>
      </w:r>
    </w:p>
    <w:p>
      <w:pPr>
        <w:spacing w:after="0" w:line="1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If we are not able to successfully finance and/or integrate acquisitions, our business operations and financial position could be adversely affected</w:t>
      </w:r>
      <w:r>
        <w:rPr>
          <w:rFonts w:ascii="Arial" w:cs="Arial" w:eastAsia="Arial" w:hAnsi="Arial"/>
          <w:sz w:val="16"/>
          <w:szCs w:val="16"/>
          <w:color w:val="auto"/>
        </w:rPr>
        <w:t>.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expanded our markets and services in part through acquisitions of complementary businesses, services, databases and technologies, and expect to continue to do so in the future. Our strategy to acquire complementary companies or assets depends on our ability to identify, and the availability of, suitable acquisition candidates. We may incur costs in the preliminary stages of an acquisition, but may ultimately be unable or unwilling to consummate the proposed transaction for various reasons. In addition, acquisitions involve numerous risks, including the ability to realize or capitalize on synergy created through combinations; managing the integration of personnel and products; potential increases in operating costs; managing geographically remote operations; the diversion of management’s attention from other business concerns and potential disruptions in ongoing operations during integration; the inherent risks in entering markets and sectors in which we have either limited or no direct experience; and the potential loss of key employees, clients or vendors and other business partners of the acquired companies. We may not successfully integrate acquired businesses or assets and may not achieve anticipated benefits of an acquisition, including expected synergies. Acquisitions could result in dilutive issuances of equity securities, the incurrence of debt, one-time write-offs of goodwill and substantial amortization expenses of other intangible assets. We may be unable to obtain financing on favorable terms, or at all, if necessary to finance future acquisitions making it impossible or more costly to acquire complementary businesses. If we are able to obtain financing, the terms may be onerous and restrict our operations. Further, certain acquisitions may be subject to regulatory approval, which can be time consuming and costly to obtain, and the terms of such regulatory approvals may impose limitations on our ongoing operations or require us to divest assets or lines of business.</w:t>
      </w:r>
    </w:p>
    <w:p>
      <w:pPr>
        <w:spacing w:after="0" w:line="17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If we are not able to obtain and maintain accurate, comprehensive or reliable data, we could experience reduced demand for our information, analytics and marketing services</w:t>
      </w:r>
      <w:r>
        <w:rPr>
          <w:rFonts w:ascii="Arial" w:cs="Arial" w:eastAsia="Arial" w:hAnsi="Arial"/>
          <w:sz w:val="18"/>
          <w:szCs w:val="18"/>
          <w:color w:val="auto"/>
        </w:rPr>
        <w:t>. Our success depends on our clients’ confidence in the comprehensiveness, accuracy and reliability of the data and analysis we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The task of establishing and maintaining accurate and reliable data and analysis is challenging. If our data, including the data we obtain from third parties, or analysis is not current, accurate, comprehensive or reliable, we could experience reduced demand for our services or legal claims by our customers, which could result in lower revenues and higher expenses. Our U.S. researchers use integrated internal research processes to update our database. Any inefficiencies, errors, or technical problems with this application could reduce the quality of our data, which could result in reduced demand for our services, lower revenues and higher costs.</w:t>
      </w:r>
    </w:p>
    <w:p>
      <w:pPr>
        <w:spacing w:after="0" w:line="18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We may not be able to successfully introduce new or upgraded information, analytics and marketing services or combine or shift focus from services with less demand, which could decrease our revenues and our profitability</w:t>
      </w:r>
      <w:r>
        <w:rPr>
          <w:rFonts w:ascii="Arial" w:cs="Arial" w:eastAsia="Arial" w:hAnsi="Arial"/>
          <w:sz w:val="17"/>
          <w:szCs w:val="17"/>
          <w:color w:val="auto"/>
        </w:rPr>
        <w:t>. Our future business and financial success will depend on our ability to continue to</w:t>
      </w:r>
      <w:r>
        <w:rPr>
          <w:rFonts w:ascii="Arial" w:cs="Arial" w:eastAsia="Arial" w:hAnsi="Arial"/>
          <w:sz w:val="17"/>
          <w:szCs w:val="17"/>
          <w:i w:val="1"/>
          <w:iCs w:val="1"/>
          <w:color w:val="auto"/>
        </w:rPr>
        <w:t xml:space="preserve"> </w:t>
      </w:r>
      <w:r>
        <w:rPr>
          <w:rFonts w:ascii="Arial" w:cs="Arial" w:eastAsia="Arial" w:hAnsi="Arial"/>
          <w:sz w:val="17"/>
          <w:szCs w:val="17"/>
          <w:color w:val="auto"/>
        </w:rPr>
        <w:t>anticipate the needs of, and to introduce new and upgraded services into the marketplace. To be successful, we must adapt to changes in the industry, as well as rapid technological changes by continually enhancing our information, analytics and marketing services. Developing new services and upgrades to services, as well as integrating and coordinating current services, imposes heavy burdens on our systems department, management and researchers. The processes are costly, and our efforts to develop, integrate and enhance our services may not be successful. As we continue to combine our operations with those that we have acquired, we must continue to assess the purposes for which various services may be used alone or together, and how we can best address those uses through stand-alone services or combinations or coordinating applications thereof. In addition, successfully launching and selling a new or upgraded service puts pressure on our sales and marketing resources. If we are unable to develop new or upgraded services or decide to combine, shift focus from, or phase out a service that overlaps or is redundant with other services we offer, then our customers may choose a competitive service over ours and our revenues may decline and our profitability may be reduced. In addition, if we incur significant costs in developing new or upgraded services or combining and coordinating existing services, are not successful in marketing and selling these new services or upgrades, or our customers fail to accept these new or combined and coordinating services, it could have a material adverse effect on our results of operations by decreasing our revenues and reducing our profitability.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0" w:name="page21"/>
    <w:bookmarkEnd w:id="20"/>
    <w:p>
      <w:pPr>
        <w:jc w:val="both"/>
        <w:ind w:firstLine="324"/>
        <w:spacing w:after="0" w:line="290" w:lineRule="auto"/>
        <w:rPr>
          <w:sz w:val="20"/>
          <w:szCs w:val="20"/>
          <w:color w:val="auto"/>
        </w:rPr>
      </w:pPr>
      <w:r>
        <w:rPr>
          <w:rFonts w:ascii="Arial" w:cs="Arial" w:eastAsia="Arial" w:hAnsi="Arial"/>
          <w:sz w:val="16"/>
          <w:szCs w:val="16"/>
          <w:i w:val="1"/>
          <w:iCs w:val="1"/>
          <w:color w:val="auto"/>
        </w:rPr>
        <w:t>Competition could render our services uncompetitive</w:t>
      </w:r>
      <w:r>
        <w:rPr>
          <w:rFonts w:ascii="Arial" w:cs="Arial" w:eastAsia="Arial" w:hAnsi="Arial"/>
          <w:sz w:val="16"/>
          <w:szCs w:val="16"/>
          <w:color w:val="auto"/>
        </w:rPr>
        <w:t>. The market for information systems and services in general is highly competitive and rapidly</w:t>
      </w:r>
      <w:r>
        <w:rPr>
          <w:rFonts w:ascii="Arial" w:cs="Arial" w:eastAsia="Arial" w:hAnsi="Arial"/>
          <w:sz w:val="16"/>
          <w:szCs w:val="16"/>
          <w:i w:val="1"/>
          <w:iCs w:val="1"/>
          <w:color w:val="auto"/>
        </w:rPr>
        <w:t xml:space="preserve"> </w:t>
      </w:r>
      <w:r>
        <w:rPr>
          <w:rFonts w:ascii="Arial" w:cs="Arial" w:eastAsia="Arial" w:hAnsi="Arial"/>
          <w:sz w:val="16"/>
          <w:szCs w:val="16"/>
          <w:color w:val="auto"/>
        </w:rPr>
        <w:t>changing. Competition in this market may increase further as a result of current recessionary economic conditions, as customer bases and customer spending have decreased and service providers are competing for fewer customer resources. Our existing competitors, or future competitors, may have greater name recognition, larger customer bases, better technology or data, lower prices, easier access to data, greater user traffic or greater financial, technical or marketing resources than we have. Our competitors may be able to undertake more effective marketing campaigns, obtain more data, adopt more aggressive pricing policies, make more attractive offers to potential employees, subscribers, distribution partners and content providers or may be able to respond more quickly to new or emerging technologies or changes in user requirements. If we are unable to retain customers or obtain new customers, our revenues could decline. Increased competition could result in lower revenues and higher expenses, which would reduce our profitability.</w:t>
      </w:r>
    </w:p>
    <w:p>
      <w:pPr>
        <w:spacing w:after="0" w:line="166"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i w:val="1"/>
          <w:iCs w:val="1"/>
          <w:color w:val="auto"/>
        </w:rPr>
        <w:t xml:space="preserve">Our focus on internal and external investments may place downward pressure on our operating margins. </w:t>
      </w:r>
      <w:r>
        <w:rPr>
          <w:rFonts w:ascii="Arial" w:cs="Arial" w:eastAsia="Arial" w:hAnsi="Arial"/>
          <w:sz w:val="17"/>
          <w:szCs w:val="17"/>
          <w:color w:val="auto"/>
        </w:rPr>
        <w:t>Over the past few years, we have increased the</w:t>
      </w:r>
      <w:r>
        <w:rPr>
          <w:rFonts w:ascii="Arial" w:cs="Arial" w:eastAsia="Arial" w:hAnsi="Arial"/>
          <w:sz w:val="17"/>
          <w:szCs w:val="17"/>
          <w:i w:val="1"/>
          <w:iCs w:val="1"/>
          <w:color w:val="auto"/>
        </w:rPr>
        <w:t xml:space="preserve"> </w:t>
      </w:r>
      <w:r>
        <w:rPr>
          <w:rFonts w:ascii="Arial" w:cs="Arial" w:eastAsia="Arial" w:hAnsi="Arial"/>
          <w:sz w:val="17"/>
          <w:szCs w:val="17"/>
          <w:color w:val="auto"/>
        </w:rPr>
        <w:t>rate of investments in our business, including internal investments in product development and sales and marketing, to expand the breadth and depth of services we provide to our customers. Our investment strategy is intended to increase our revenue growth in the future as activity in the commercial real estate industry shows signs of economic recovery. Our operating margins may experience downward pressure in the short term as a result of investments. Furthermore, if the industry fails to stabilize or deteriorates further in 2014 and beyond, our investments may not have their intended effect. For instance, our external investments may lose value and we may incur impairment charges with respect to such investments. Such impairment charges may negatively impact our profitability. If we are unable to successfully execute our investment strategy or if we fail to adequately anticipate and address potential problems, we may experience decreases in our revenues and operating margins.</w:t>
      </w:r>
    </w:p>
    <w:p>
      <w:pPr>
        <w:spacing w:after="0" w:line="17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If we are unable to enforce or defend our ownership and use of intellectual property, our business, competitive position and operating results could be harmed</w:t>
      </w:r>
      <w:r>
        <w:rPr>
          <w:rFonts w:ascii="Arial" w:cs="Arial" w:eastAsia="Arial" w:hAnsi="Arial"/>
          <w:sz w:val="17"/>
          <w:szCs w:val="17"/>
          <w:color w:val="auto"/>
        </w:rPr>
        <w:t>. The success of our business depends in large part on the intellectual property involved in our methodologies, database, services and software. We</w:t>
      </w:r>
      <w:r>
        <w:rPr>
          <w:rFonts w:ascii="Arial" w:cs="Arial" w:eastAsia="Arial" w:hAnsi="Arial"/>
          <w:sz w:val="17"/>
          <w:szCs w:val="17"/>
          <w:i w:val="1"/>
          <w:iCs w:val="1"/>
          <w:color w:val="auto"/>
        </w:rPr>
        <w:t xml:space="preserve"> </w:t>
      </w:r>
      <w:r>
        <w:rPr>
          <w:rFonts w:ascii="Arial" w:cs="Arial" w:eastAsia="Arial" w:hAnsi="Arial"/>
          <w:sz w:val="17"/>
          <w:szCs w:val="17"/>
          <w:color w:val="auto"/>
        </w:rPr>
        <w:t>rely on a combination of trade secret, patent, copyright and other laws, nondisclosure and noncompetition provisions, license agreements and other contractual provisions and technical measures to protect our intellectual property rights. However, current law may not provide for adequate protection of our databases and the actual data. In addition, legal standards relating to the validity, enforceability and scope of protection of proprietary rights in internet related businesses are uncertain and evolving, and changes in these standards may adversely impact the viability or value of our proprietary rights. Our business could be significantly harmed if we are not able to protect our content and our other intellectual property. The same would be true if a court found that our services infringe other persons’ intellectual property rights. Any intellectual property lawsuits or threatened lawsuits in which we are involved, either as a plaintiff or as a defendant, could cost us a significant amount of time and money and distract management’s attention from operating our business. In addition, if we do not prevail on any intellectual property claims, this could result in a change to our methodology or information, analytics and marketing services and could reduce our profitability.</w:t>
      </w:r>
    </w:p>
    <w:p>
      <w:pPr>
        <w:spacing w:after="0" w:line="18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We may not be able to successfully halt the operation of websites that aggregate our data, as well as data from other companies, such as copycat websites that may misappropriate our data. </w:t>
      </w:r>
      <w:r>
        <w:rPr>
          <w:rFonts w:ascii="Arial" w:cs="Arial" w:eastAsia="Arial" w:hAnsi="Arial"/>
          <w:sz w:val="16"/>
          <w:szCs w:val="16"/>
          <w:color w:val="auto"/>
        </w:rPr>
        <w:t>Third parties may misappropriate our data through website scraping, robots or other means and aggregate this</w:t>
      </w:r>
      <w:r>
        <w:rPr>
          <w:rFonts w:ascii="Arial" w:cs="Arial" w:eastAsia="Arial" w:hAnsi="Arial"/>
          <w:sz w:val="16"/>
          <w:szCs w:val="16"/>
          <w:i w:val="1"/>
          <w:iCs w:val="1"/>
          <w:color w:val="auto"/>
        </w:rPr>
        <w:t xml:space="preserve"> </w:t>
      </w:r>
      <w:r>
        <w:rPr>
          <w:rFonts w:ascii="Arial" w:cs="Arial" w:eastAsia="Arial" w:hAnsi="Arial"/>
          <w:sz w:val="16"/>
          <w:szCs w:val="16"/>
          <w:color w:val="auto"/>
        </w:rPr>
        <w:t>data on their websites with data from other companies. In addition, “copycat” websites may misappropriate data on our website and attempt to imitate our brand or the functionality of our website. We may not be able to detect all such websites in a timely manner and, even if we could, technological and legal measures may be insufficient to stop their operations. In some cases, particularly in the case of websites operating outside of the U.S., our available remedies may not be adequate to protect us against the misappropriation of our data. Regardless of whether we can successfully enforce our rights against the operators of these websites, any measures that we may take could require us to expend significant financial or other resources.</w:t>
      </w:r>
    </w:p>
    <w:p>
      <w:pPr>
        <w:spacing w:after="0" w:line="16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Litigation or government investigations in which we become involved may significantly increase our expenses and adversely affect our stock price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and from time to time, we are a party to various lawsuits. Any lawsuits, threatened lawsuits or government investigations in which we are involved could cost us a significant amount of time and money to defend, could distract management’s attention away from operating our business, could result in negative publicity and could adversely affect our stock price. In addition, if any claims are determined against us or if a settlement requires us to pay a large monetary amount or take other action that materially restricts or impedes our operations, our profitability could be significantly reduced and our financial position could be adversely affected. Our insurance may not be sufficient to cover any losses we incur in connection with litigation claims.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1" w:name="page22"/>
    <w:bookmarkEnd w:id="21"/>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If we fail to protect confidential information against security breaches, or if customers or potential customers are reluctant to use our services because of privacy concerns, we might face additional costs and could lose customers or potential customers. </w:t>
      </w:r>
      <w:r>
        <w:rPr>
          <w:rFonts w:ascii="Arial" w:cs="Arial" w:eastAsia="Arial" w:hAnsi="Arial"/>
          <w:sz w:val="16"/>
          <w:szCs w:val="16"/>
          <w:color w:val="auto"/>
        </w:rPr>
        <w:t>We collect, use and disclose personally identifiable</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including among other things names, addresses, phone numbers, and email addresses. In certain circumstances, we also collect and use credit card information. Our policies concerning the collection, use and disclosure of personally identifiable information are described on our websites. While we believe that our policies are appropriate and that we are in compliance with our policies, we could be subject to legal claims, government action or harm to our reputation if our practices fail, or are seen as failing, to comply with our policies or with applicable laws concerning personally identifiable information.</w:t>
      </w:r>
    </w:p>
    <w:p>
      <w:pPr>
        <w:spacing w:after="0" w:line="16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We may be subject to legal liability for collecting, displaying or distributing information</w:t>
      </w:r>
      <w:r>
        <w:rPr>
          <w:rFonts w:ascii="Arial" w:cs="Arial" w:eastAsia="Arial" w:hAnsi="Arial"/>
          <w:sz w:val="18"/>
          <w:szCs w:val="18"/>
          <w:color w:val="auto"/>
        </w:rPr>
        <w:t>. Because the content in our database is collected from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sources and distributed to others, we may be subject to claims for breach of contract, defamation, negligence, unfair competition or copyright or trademark infringement or claims based on other theories. We could also be subject to claims based upon the content that is accessible from our website through links to other websites or information on our website supplied by third parties. We could also be subject to claims that the collection or provision of certain information breached laws and regulations relating to privacy and data protection. Even if these claims do not result in liability to us, we could incur significant costs in investigating and defending against any claims. Our potential liability for information distributed by us to others could require us to implement measures to reduce our exposure to such liability, which may require us to expend substantial resources and limit the attractiveness of our information, analytics and marketing services to users.</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Concern of prospective customers regarding our use of the personal information collected on our websites could keep prospective customers from subscribing to our services. Industry-wide incidents or incidents with respect to our websites, including misappropriation of third-party information, security breaches, or changes in industry standards, regulations or laws, could deter people from using the Internet or our websites to conduct transactions that involve the transmission of confidential information, which could harm our business. Under various state laws, if there is a breach of our computer systems and we know or suspect that unencrypted personal customer data has been stolen, we are required to inform any customers whose data was stolen, which could result in significant costs and harm our reputation and business.</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certain state laws require businesses that maintain personal information in electronic databases to implement reasonable measures to keep that information secure. Various states have enacted different and sometimes contradictory requirements for protecting personal information collected and maintained electronically. Compliance with numerous and contradictory requirements of the different states is particularly difficult for an online business such as ours which collects personal information from customers in multiple jurisdictions.</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may face adverse publicity and loss of consumer confidence if we are not able to comply with laws requiring us to take adequate measures to assure the confidentiality of the personally identifiable information that our customers had given to us. This could result in a loss of customers and revenue that could jeopardize our success. Even if we are in full compliance with all relevant laws and regulations, we may face liability or disruption of business if we do not comply in every instance or if the security of the customer data that we collect is compromised, regardless of whether our practices comply or not. If we were required to pay any significant amount of money in satisfaction of claims under these laws, or if we were forced to suspend operations for any length of time due to our inability to comply fully with any such laws, our business, operating results and financial condition could be adversely affected.</w:t>
      </w:r>
    </w:p>
    <w:p>
      <w:pPr>
        <w:spacing w:after="0" w:line="16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Our business depends on retaining and attracting highly capable management and operating personnel</w:t>
      </w:r>
      <w:r>
        <w:rPr>
          <w:rFonts w:ascii="Arial" w:cs="Arial" w:eastAsia="Arial" w:hAnsi="Arial"/>
          <w:sz w:val="16"/>
          <w:szCs w:val="16"/>
          <w:color w:val="auto"/>
        </w:rPr>
        <w:t>. Our success depends in large part on our ability</w:t>
      </w:r>
      <w:r>
        <w:rPr>
          <w:rFonts w:ascii="Arial" w:cs="Arial" w:eastAsia="Arial" w:hAnsi="Arial"/>
          <w:sz w:val="16"/>
          <w:szCs w:val="16"/>
          <w:i w:val="1"/>
          <w:iCs w:val="1"/>
          <w:color w:val="auto"/>
        </w:rPr>
        <w:t xml:space="preserve"> </w:t>
      </w:r>
      <w:r>
        <w:rPr>
          <w:rFonts w:ascii="Arial" w:cs="Arial" w:eastAsia="Arial" w:hAnsi="Arial"/>
          <w:sz w:val="16"/>
          <w:szCs w:val="16"/>
          <w:color w:val="auto"/>
        </w:rPr>
        <w:t>to retain and attract management and operating personnel, including our President and Chief Executive Officer, Andrew Florance, and our other officers and key employees. Our business requires highly skilled technical, sales, management, web development, marketing and research personnel, who are in high demand and are often subject to competing offers. To retain and attract key personnel, we use various measures, including employment agreements, awards under a stock incentive plan and incentive bonuses for key executive officers. These measures may not be enough to retain and attract the personnel we need or to offset the impact on our business of the loss of the services of Mr. Florance or other key officers or employees.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2" w:name="page23"/>
    <w:bookmarkEnd w:id="22"/>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An impairment in the carrying value of goodwill could negatively impact our consolidated results of operations and net worth. </w:t>
      </w:r>
      <w:r>
        <w:rPr>
          <w:rFonts w:ascii="Arial" w:cs="Arial" w:eastAsia="Arial" w:hAnsi="Arial"/>
          <w:sz w:val="16"/>
          <w:szCs w:val="16"/>
          <w:color w:val="auto"/>
        </w:rPr>
        <w:t>Goodwill and identifiable</w:t>
      </w:r>
      <w:r>
        <w:rPr>
          <w:rFonts w:ascii="Arial" w:cs="Arial" w:eastAsia="Arial" w:hAnsi="Arial"/>
          <w:sz w:val="16"/>
          <w:szCs w:val="16"/>
          <w:i w:val="1"/>
          <w:iCs w:val="1"/>
          <w:color w:val="auto"/>
        </w:rPr>
        <w:t xml:space="preserve"> </w:t>
      </w:r>
      <w:r>
        <w:rPr>
          <w:rFonts w:ascii="Arial" w:cs="Arial" w:eastAsia="Arial" w:hAnsi="Arial"/>
          <w:sz w:val="16"/>
          <w:szCs w:val="16"/>
          <w:color w:val="auto"/>
        </w:rPr>
        <w:t>intangible assets not subject to amortization are tested annually by each reporting unit on October 1 of each year for impairment and are tested for impairment more frequently based upon the existence of one or more indicators. We consider our operating segments, U.S. and International, as our reporting units under Financial Accounting Standards Board (“FASB”) authoritative guidance for consideration of potential impairment of goodwill. We assess the impairment of long-lived assets, identifiable intangibles and goodwill whenever events or changes in circumstances indicate that the carrying value may not be recoverable. Judgments made by management relate to the expected useful lives of long-lived assets and our ability to realize undiscounted cash flows of the carrying amounts of such assets. The accuracy of these judgments may be adversely affected by several factors, including the factors listed below:</w:t>
      </w:r>
    </w:p>
    <w:p>
      <w:pPr>
        <w:spacing w:after="0" w:line="16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underperformance relative to historical or projected future operating results;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changes in the manner of our use of acquired assets or the strategy for our overall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negative industry or economic trends;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decline in our market capitalization relative to net book value for a sustained period.</w:t>
      </w:r>
    </w:p>
    <w:p>
      <w:pPr>
        <w:spacing w:after="0" w:line="21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These types of events or indicators and the resulting impairment analysis could result in goodwill impairment charges in the future, which would reduce our profitability. Impairment charges could negatively affect our financial results in the periods of such charges, which may reduce our profitability. As of December 31, 2013, we had $718.6 million of goodwill, $692.6 million in our U.S. segment and $26.0 million in our International segment.</w:t>
      </w:r>
    </w:p>
    <w:p>
      <w:pPr>
        <w:spacing w:after="0" w:line="14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As a result of the consolidation of certain of our facilities, we may incur additional costs</w:t>
      </w:r>
      <w:r>
        <w:rPr>
          <w:rFonts w:ascii="Arial" w:cs="Arial" w:eastAsia="Arial" w:hAnsi="Arial"/>
          <w:sz w:val="18"/>
          <w:szCs w:val="18"/>
          <w:color w:val="auto"/>
        </w:rPr>
        <w:t>. We have taken, and may continue to take, actions that may</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our cost structure in the short-term but are intended to reduce certain portions of our long-term cost structure, such as consolidation of office space. As a result of consolidation of office space, we may reduce our long-term occupancy costs, but incur restructuring charges. If our long-term cost reduction efforts are ineffective or our estimates of cost savings are inaccurate, our profitability could be negatively impacted. Expected savings from relocating facilities can be highly variable and uncertain. Further, we may not be successful in achieving the operating efficiencies or operating cost reductions expected from these efforts in the amounts or at the times we anticipate.</w:t>
      </w:r>
    </w:p>
    <w:p>
      <w:pPr>
        <w:spacing w:after="0" w:line="19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If we are unable to obtain or retain listings from commercial real estate brokers, agents, and property owners, our commercial real estate ("CRE") marketplace services, including but not limited to the LoopNet marketplace, CoStar Showcase, LandandFarm.com and Lands of America, could be less attractive to current or potential customers, which could reduce our revenues. </w:t>
      </w:r>
      <w:r>
        <w:rPr>
          <w:rFonts w:ascii="Arial" w:cs="Arial" w:eastAsia="Arial" w:hAnsi="Arial"/>
          <w:sz w:val="17"/>
          <w:szCs w:val="17"/>
          <w:color w:val="auto"/>
        </w:rPr>
        <w:t>The value of our CRE marketplace services to our customers depends on our</w:t>
      </w:r>
      <w:r>
        <w:rPr>
          <w:rFonts w:ascii="Arial" w:cs="Arial" w:eastAsia="Arial" w:hAnsi="Arial"/>
          <w:sz w:val="17"/>
          <w:szCs w:val="17"/>
          <w:i w:val="1"/>
          <w:iCs w:val="1"/>
          <w:color w:val="auto"/>
        </w:rPr>
        <w:t xml:space="preserve"> </w:t>
      </w:r>
      <w:r>
        <w:rPr>
          <w:rFonts w:ascii="Arial" w:cs="Arial" w:eastAsia="Arial" w:hAnsi="Arial"/>
          <w:sz w:val="17"/>
          <w:szCs w:val="17"/>
          <w:color w:val="auto"/>
        </w:rPr>
        <w:t>ability to increase the number of property listings provided and searches conducted. The success of our CRE marketplace services depends substantially on the number of commercial real estate property listings submitted by brokers, agents and property owners. This is because an increase in the number of listings increases the utility of the online service and of its associated search, listing and marketing services. If agents marketing large numbers of property listings, such as large brokers in key real estate markets, choose not to continue their listings with us, or choose to list them with a competitor, our CRE marketplace services could be less attractive to other real estate industry transaction participants, resulting in reduced revenue. Similarly, the value and utility of our other marketplaces, including BizBuySell and BizQuest, are also dependent on attracting and retaining listings.</w:t>
      </w:r>
    </w:p>
    <w:p>
      <w:pPr>
        <w:spacing w:after="0" w:line="18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If we are unable to convince commercial real estate professionals that our CRE marketplace services are superior to traditional methods of listing, searching, and marketing commercial real estate, they could choose not to use those services, which could reduce our revenues or increase our expenses. </w:t>
      </w:r>
      <w:r>
        <w:rPr>
          <w:rFonts w:ascii="Arial" w:cs="Arial" w:eastAsia="Arial" w:hAnsi="Arial"/>
          <w:sz w:val="16"/>
          <w:szCs w:val="16"/>
          <w:color w:val="auto"/>
        </w:rPr>
        <w:t>The</w:t>
      </w:r>
      <w:r>
        <w:rPr>
          <w:rFonts w:ascii="Arial" w:cs="Arial" w:eastAsia="Arial" w:hAnsi="Arial"/>
          <w:sz w:val="16"/>
          <w:szCs w:val="16"/>
          <w:i w:val="1"/>
          <w:iCs w:val="1"/>
          <w:color w:val="auto"/>
        </w:rPr>
        <w:t xml:space="preserve"> </w:t>
      </w:r>
      <w:r>
        <w:rPr>
          <w:rFonts w:ascii="Arial" w:cs="Arial" w:eastAsia="Arial" w:hAnsi="Arial"/>
          <w:sz w:val="16"/>
          <w:szCs w:val="16"/>
          <w:color w:val="auto"/>
        </w:rPr>
        <w:t>primary source of new customers for our CRE marketplace services is participants in the commercial real estate community. Many commercial real estate professionals are used to listing, searching and marketing real estate in traditional and off-line ways, such as by distributing print brochures, sharing written lists, placing signs on properties, word-of-mouth, and newspaper advertisements. Commercial real estate and investment professionals may prefer to continue to use traditional methods or may be slow to adopt and accept our online products and services. If we are not able to persuade commercial real estate participants of the efficacy of our online products and services, they may choose not to use our CRE marketplace services, which could negatively impact our business. Similarly, if we are unable to convince the business and investment community to utilize our online business for sale marketplaces rather than traditional methods of listing and marketing businesses for sale, our revenues could be negatively affected.</w:t>
      </w:r>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The number of LoopNet's registered members is higher than the number of actual members. </w:t>
      </w:r>
      <w:r>
        <w:rPr>
          <w:rFonts w:ascii="Arial" w:cs="Arial" w:eastAsia="Arial" w:hAnsi="Arial"/>
          <w:sz w:val="18"/>
          <w:szCs w:val="18"/>
          <w:color w:val="auto"/>
        </w:rPr>
        <w:t>The number of registered members in LoopNet's network is</w:t>
      </w:r>
      <w:r>
        <w:rPr>
          <w:rFonts w:ascii="Arial" w:cs="Arial" w:eastAsia="Arial" w:hAnsi="Arial"/>
          <w:sz w:val="18"/>
          <w:szCs w:val="18"/>
          <w:i w:val="1"/>
          <w:iCs w:val="1"/>
          <w:color w:val="auto"/>
        </w:rPr>
        <w:t xml:space="preserve"> </w:t>
      </w:r>
      <w:r>
        <w:rPr>
          <w:rFonts w:ascii="Arial" w:cs="Arial" w:eastAsia="Arial" w:hAnsi="Arial"/>
          <w:sz w:val="18"/>
          <w:szCs w:val="18"/>
          <w:color w:val="auto"/>
        </w:rPr>
        <w:t>higher than the number of actual members because some members have multiple registrations or others may have registered under fictitious names. Given the challenges inherent in identifying these accounts, we do not have a reliable system to accurately identify the number of actual members, and thus we rely on the number of registered members as a measure of the size of the LoopNet marketplace. If the number of LoopNet's actual members does not continue to grow and those members do not convert to premium members, then the LoopNet marketplace business may not grow as fast as we expect, which could harm our operating and financial results.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3" w:name="page24"/>
    <w:bookmarkEnd w:id="23"/>
    <w:p>
      <w:pPr>
        <w:jc w:val="both"/>
        <w:ind w:firstLine="324"/>
        <w:spacing w:after="0" w:line="269" w:lineRule="auto"/>
        <w:rPr>
          <w:sz w:val="20"/>
          <w:szCs w:val="20"/>
          <w:color w:val="auto"/>
        </w:rPr>
      </w:pPr>
      <w:r>
        <w:rPr>
          <w:rFonts w:ascii="Arial" w:cs="Arial" w:eastAsia="Arial" w:hAnsi="Arial"/>
          <w:sz w:val="17"/>
          <w:szCs w:val="17"/>
          <w:i w:val="1"/>
          <w:iCs w:val="1"/>
          <w:color w:val="auto"/>
        </w:rPr>
        <w:t>If we are unable to increase our revenues or our operating costs are higher than expected, our profitability may decline and our operating results may fluctuate significantly</w:t>
      </w:r>
      <w:r>
        <w:rPr>
          <w:rFonts w:ascii="Arial" w:cs="Arial" w:eastAsia="Arial" w:hAnsi="Arial"/>
          <w:sz w:val="17"/>
          <w:szCs w:val="17"/>
          <w:color w:val="auto"/>
        </w:rPr>
        <w:t>. We may not be able to accurately forecast our revenues or future revenue growth rate. Many of our expenses, particularly personnel</w:t>
      </w:r>
      <w:r>
        <w:rPr>
          <w:rFonts w:ascii="Arial" w:cs="Arial" w:eastAsia="Arial" w:hAnsi="Arial"/>
          <w:sz w:val="17"/>
          <w:szCs w:val="17"/>
          <w:i w:val="1"/>
          <w:iCs w:val="1"/>
          <w:color w:val="auto"/>
        </w:rPr>
        <w:t xml:space="preserve"> </w:t>
      </w:r>
      <w:r>
        <w:rPr>
          <w:rFonts w:ascii="Arial" w:cs="Arial" w:eastAsia="Arial" w:hAnsi="Arial"/>
          <w:sz w:val="17"/>
          <w:szCs w:val="17"/>
          <w:color w:val="auto"/>
        </w:rPr>
        <w:t>costs and occupancy costs, are relatively fixed. As a result, we may not be able to adjust spending quickly enough to offset any unexpected increase in expenses or revenue shortfall. We may experience higher than expected operating costs, including increased personnel costs, occupancy costs, selling and marketing costs, investments in geographic expansion, acquisition costs, communications costs, travel costs, software development costs, professional fees and other costs. If operating costs exceed our expectations and cannot be adjusted accordingly, our profitability may be reduced and our results of operations and financial position will be adversely affected. Additionally, we may not be able to sustain our historic revenue growth rates, and our percentage revenue growth rates may decline. Our ability to increase our revenues and operating profit will depend on increased demand for our services. Our sales are affected by, among other things, general economic and commercial real estate conditions. Reduced demand, whether due to changes in customer preference, a further weakening of the U.S. or global economy, competition or other reasons, may result in decreased revenue and growth, adversely affecting our operating results.</w:t>
      </w:r>
    </w:p>
    <w:p>
      <w:pPr>
        <w:spacing w:after="0" w:line="18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International operations expose us to additional business risks, which may reduce our profitability</w:t>
      </w:r>
      <w:r>
        <w:rPr>
          <w:rFonts w:ascii="Arial" w:cs="Arial" w:eastAsia="Arial" w:hAnsi="Arial"/>
          <w:sz w:val="17"/>
          <w:szCs w:val="17"/>
          <w:color w:val="auto"/>
        </w:rPr>
        <w:t>. Our international operations and expansion subject us</w:t>
      </w:r>
      <w:r>
        <w:rPr>
          <w:rFonts w:ascii="Arial" w:cs="Arial" w:eastAsia="Arial" w:hAnsi="Arial"/>
          <w:sz w:val="17"/>
          <w:szCs w:val="17"/>
          <w:i w:val="1"/>
          <w:iCs w:val="1"/>
          <w:color w:val="auto"/>
        </w:rPr>
        <w:t xml:space="preserve"> </w:t>
      </w:r>
      <w:r>
        <w:rPr>
          <w:rFonts w:ascii="Arial" w:cs="Arial" w:eastAsia="Arial" w:hAnsi="Arial"/>
          <w:sz w:val="17"/>
          <w:szCs w:val="17"/>
          <w:color w:val="auto"/>
        </w:rPr>
        <w:t>to additional business risks, including: currency exchange rate fluctuations; adapting to the differing business practices and laws in foreign countries; difficulties in managing foreign operations; limited protection for intellectual property rights in some countries; difficulty in collecting accounts receivable and longer collection periods; costs of enforcing contractual obligations; impact of recessions in economies outside the U.S.; and potentially adverse tax consequences. In addition, international expansion imposes additional burdens on our executive and administrative personnel, systems development, research and sales departments, and general managerial resources. If we are not able to manage our international operations successfully, we may incur higher expenses and our profitability may be reduced. Finally, the investment required for additional international expansion could exceed the profit generated from such expansion, which would reduce our profitability and adversely affect our financial position.</w:t>
      </w:r>
    </w:p>
    <w:p>
      <w:pPr>
        <w:spacing w:after="0" w:line="17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Fluctuating foreign currencies may negatively impact our business, results of operations and financial position. </w:t>
      </w:r>
      <w:r>
        <w:rPr>
          <w:rFonts w:ascii="Arial" w:cs="Arial" w:eastAsia="Arial" w:hAnsi="Arial"/>
          <w:sz w:val="17"/>
          <w:szCs w:val="17"/>
          <w:color w:val="auto"/>
        </w:rPr>
        <w:t>Due to our acquisitions of CoStar U.K.</w:t>
      </w:r>
      <w:r>
        <w:rPr>
          <w:rFonts w:ascii="Arial" w:cs="Arial" w:eastAsia="Arial" w:hAnsi="Arial"/>
          <w:sz w:val="17"/>
          <w:szCs w:val="17"/>
          <w:i w:val="1"/>
          <w:iCs w:val="1"/>
          <w:color w:val="auto"/>
        </w:rPr>
        <w:t xml:space="preserve"> </w:t>
      </w:r>
      <w:r>
        <w:rPr>
          <w:rFonts w:ascii="Arial" w:cs="Arial" w:eastAsia="Arial" w:hAnsi="Arial"/>
          <w:sz w:val="17"/>
          <w:szCs w:val="17"/>
          <w:color w:val="auto"/>
        </w:rPr>
        <w:t>Limited (formerly FOCUS Information Limited), Grecam S.A.S., and Property and Portfolio Research Ltd., a portion of our business is denominated in the British Pound and Euro. If we expand into Canada as expected, a portion of our business will be denominated in Canadian dollars. As a result, fluctuations in foreign currencies may have an impact on our business, results of operations and financial position. Foreign currency exchange rates have fluctuated and may continue to fluctuate. Significant foreign currency exchange rate fluctuations may negatively impact our international revenue, which in turn affects our consolidated revenue. Currencies may be affected by internal factors, general economic conditions and external developments in other countries, all of which can have an adverse impact on a country’s currency. Currently, we are not party to any hedging transactions intended to reduce our exposure to exchange rate fluctuations. We may seek to enter into hedging transactions in the future, but we may be unable to enter into these transactions successfully, on acceptable terms or at all. We cannot predict whether we will incur foreign exchange losses in the future. Further, significant foreign exchange fluctuations resulting in a decline in the respective, local currency may decrease the value of our foreign assets, as well as decrease our revenues and earnings from our foreign subsidiaries, which would reduce our profitability and adversely affect our financial position.</w:t>
      </w:r>
    </w:p>
    <w:p>
      <w:pPr>
        <w:spacing w:after="0" w:line="18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Our expansion into the commercial real estate analytics sector may not be successful or may not result in increased revenues, which may negatively impact our business, results of operations and financial position</w:t>
      </w:r>
      <w:r>
        <w:rPr>
          <w:rFonts w:ascii="Arial" w:cs="Arial" w:eastAsia="Arial" w:hAnsi="Arial"/>
          <w:sz w:val="17"/>
          <w:szCs w:val="17"/>
          <w:color w:val="auto"/>
        </w:rPr>
        <w:t>. Expanding into the commercial real estate market research and forecasting sector has</w:t>
      </w:r>
      <w:r>
        <w:rPr>
          <w:rFonts w:ascii="Arial" w:cs="Arial" w:eastAsia="Arial" w:hAnsi="Arial"/>
          <w:sz w:val="17"/>
          <w:szCs w:val="17"/>
          <w:i w:val="1"/>
          <w:iCs w:val="1"/>
          <w:color w:val="auto"/>
        </w:rPr>
        <w:t xml:space="preserve"> </w:t>
      </w:r>
      <w:r>
        <w:rPr>
          <w:rFonts w:ascii="Arial" w:cs="Arial" w:eastAsia="Arial" w:hAnsi="Arial"/>
          <w:sz w:val="17"/>
          <w:szCs w:val="17"/>
          <w:color w:val="auto"/>
        </w:rPr>
        <w:t>imposed and may continue to impose additional burdens on our research, systems development, sales, marketing and general management resources. During 2014, we expect to continue to expand our presence in the commercial real estate analytics sector. If we are unable to manage this expansion effectively or if our costs for this effort exceed our expectations, our financial position could be adversely affected. In addition, if we incur additional costs to expand our analytics services and we are not successful in marketing or selling these expanded services, our expansion may have a material adverse effect on our financial position by increasing our expenses without increasing our revenues, adversely affecting our profitability.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4" w:name="page25"/>
    <w:bookmarkEnd w:id="24"/>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Our indebtedness could adversely affect us, including by decreasing our business flexibility and increasing our costs. </w:t>
      </w:r>
      <w:r>
        <w:rPr>
          <w:rFonts w:ascii="Arial" w:cs="Arial" w:eastAsia="Arial" w:hAnsi="Arial"/>
          <w:sz w:val="16"/>
          <w:szCs w:val="16"/>
          <w:color w:val="auto"/>
        </w:rPr>
        <w:t>On February 16, 2012, we entered</w:t>
      </w:r>
      <w:r>
        <w:rPr>
          <w:rFonts w:ascii="Arial" w:cs="Arial" w:eastAsia="Arial" w:hAnsi="Arial"/>
          <w:sz w:val="16"/>
          <w:szCs w:val="16"/>
          <w:i w:val="1"/>
          <w:iCs w:val="1"/>
          <w:color w:val="auto"/>
        </w:rPr>
        <w:t xml:space="preserve"> </w:t>
      </w:r>
      <w:r>
        <w:rPr>
          <w:rFonts w:ascii="Arial" w:cs="Arial" w:eastAsia="Arial" w:hAnsi="Arial"/>
          <w:sz w:val="16"/>
          <w:szCs w:val="16"/>
          <w:color w:val="auto"/>
        </w:rPr>
        <w:t>into a Credit Agreement by and among CoStar, as borrower, CoStar Realty Information, Inc., as co-borrower, the lenders from time to time party thereto and J.P. Morgan Bank, as administrative agent. The Credit Agreement provides for a $175.0 million term loan facility and a $50.0 million revolving credit facility, each with a term of five years. On April 30, 2012, we used the proceeds of the $175.0 million term loan facility to fund a portion of the merger consideration and transaction costs for the LoopNet acquisition. The Credit Agreement contains customary restrictive covenants imposing operating and financial restrictions on us, including restrictions that may limit our ability to engage in acts that we believe may be in our long-term best interests. These covenants restrict our ability and the ability of our subsidiaries (i) to incur additional indebtedness, (ii) to create, incur, assume or permit to exist any liens, (iii) to enter into mergers, consolidations or similar transactions, (iv) to make investments and acquisitions, (v) to make certain dispositions of assets, (vi) to make dividends, distributions and prepayments of certain indebtedness, and (vii) to enter into certain transactions with affiliates.</w:t>
      </w:r>
    </w:p>
    <w:p>
      <w:pPr>
        <w:spacing w:after="0" w:line="11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operating restrictions and financial covenants in the Credit Agreement and any future financing agreements may limit our ability to finance future operations or capital needs, to engage in other business activities or to respond to changes in market conditions. Our ability to comply with any financial covenants could be materially affected by events beyond our control. If we fail to comply with these covenants, we may need to seek waivers or amendments of such covenants, seek alternative or additional sources of financing or reduce our expenditures. We may be unable to obtain such waivers, amendments or alternative or additional financing on a timely basis or at all, or on favorable terms.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required to make periodic principal and interest payments pursuant to the terms of the Credit Agreement. If an event of default occurs, the lenders under the Credit Agreement may declare all outstanding borrowings, together with accrued interest and other fees, to be immediately due and payable and may exercise remedies in respect of the collateral. We may not be able to repay all amounts due under the Credit Agreement in the event these amounts are declared due upon an event of default.</w:t>
      </w:r>
    </w:p>
    <w:p>
      <w:pPr>
        <w:spacing w:after="0" w:line="18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 xml:space="preserve">Negative conditions in the global credit markets may affect the liquidity of a portion of our long-term investments. </w:t>
      </w:r>
      <w:r>
        <w:rPr>
          <w:rFonts w:ascii="Arial" w:cs="Arial" w:eastAsia="Arial" w:hAnsi="Arial"/>
          <w:sz w:val="18"/>
          <w:szCs w:val="18"/>
          <w:color w:val="auto"/>
        </w:rPr>
        <w:t>Currently, our long-term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mostly AAA-rated auction rate securities (“ARS”), which are primarily student loan securities supported by guarantees from the Federal Family Education Loan Program (“FFELP”) of the U.S. Department of Education. Continuing negative conditions in the global credit markets have prevented some investors from liquidating their holdings of auction rate securities because the amount of securities submitted for sale has exceeded the amount of purchase orders for such securities. As of December 31, 2013, we held $24.3 million par value of ARS, all of which failed to settle at auctions. When an auction fails for ARS in which we have invested, we may be unable to liquidate some or all of these securities at par. In the event we need or desire to immediately access these funds, we will not be able to do so until a future auction on these investments is successful, a buyer is found outside the auction process or an alternative action is determined. If a buyer is found but is unwilling to purchase the investments at par, we may incur a loss, which would reduce our profitability and adversely affect our financial position.</w:t>
      </w:r>
    </w:p>
    <w:p>
      <w:pPr>
        <w:spacing w:after="0" w:line="19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ARS investments are not currently actively trading and therefore do not currently have a readily determinable market value. The estimated fair value of the ARS no longer approximates par value. We have used a discounted cash flow model to determine the estimated fair value of our investment in ARS as of December 31, 2013. The assumptions used in preparing the discounted cash flow model include estimates for interest rates, credit spreads, timing and amount of cash flows, liquidity risk premiums, expected holding periods and default risk of the ARS. We update the discounted cash flow model on a quarterly basis to reflect any changes in the assumptions used in the model and settlements of ARS investments that occurred during the period. Based on this assessment of fair value, as of December 31, 2013, we determined there was a decline in the fair value of our ARS investments of approximately $1.5 million. The decline was deemed to be a temporary impairment and was recorded as an unrealized loss in accumulated other comprehensive loss in stockholders’ equity. If the issuers of these ARS are unable to successfully close future auctions and/or their credit ratings deteriorate, we may be required to record additional unrealized losses in accumulated other comprehensive loss or an other-than-temporary impairment charge to earnings on these investments, which would reduce our profitability and adversely affect our financial position.</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not made any material changes in the accounting methodology used to determine the fair value of the ARS. We do not expect any material changes in the near term to the underlying assumptions used to determine the unobservable inputs used to calculate the fair value of the ARS as of December 31, 2013. However, if changes in these assumptions occur, and, should those changes be significant, we may be required to record additional unrealized losses in accumulated other comprehensive loss or an other-than-temporary impairment charge to earnings on these investments.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5" w:name="page26"/>
    <w:bookmarkEnd w:id="25"/>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U.S. political, credit and financial market conditions may negatively impact or impair the value of our current portfolio of cash, cash equivalents and investments, including U.S. Treasury securities and U.S.-backed investments, as well as our access to credit. </w:t>
      </w:r>
      <w:r>
        <w:rPr>
          <w:rFonts w:ascii="Arial" w:cs="Arial" w:eastAsia="Arial" w:hAnsi="Arial"/>
          <w:sz w:val="16"/>
          <w:szCs w:val="16"/>
          <w:color w:val="auto"/>
        </w:rPr>
        <w:t>Our cash, cash equivalents and investments are</w:t>
      </w:r>
      <w:r>
        <w:rPr>
          <w:rFonts w:ascii="Arial" w:cs="Arial" w:eastAsia="Arial" w:hAnsi="Arial"/>
          <w:sz w:val="16"/>
          <w:szCs w:val="16"/>
          <w:i w:val="1"/>
          <w:iCs w:val="1"/>
          <w:color w:val="auto"/>
        </w:rPr>
        <w:t xml:space="preserve"> </w:t>
      </w:r>
      <w:r>
        <w:rPr>
          <w:rFonts w:ascii="Arial" w:cs="Arial" w:eastAsia="Arial" w:hAnsi="Arial"/>
          <w:sz w:val="16"/>
          <w:szCs w:val="16"/>
          <w:color w:val="auto"/>
        </w:rPr>
        <w:t>held in a variety of common financial instruments, including U.S. treasury securities. Deterioration in the U.S. credit and financial markets may result in losses or deterioration in the fair value of our cash, cash equivalents, or investments. On August 5, 2011, Standard &amp; Poor’s lowered its long term sovereign credit rating on the U.S. from AAA to AA+. This downgrade, and any future downgrades of the U.S. credit rating, could impact the stability of future U.S. treasury auctions, affect the trading market for U.S. government securities, result in increased interest rates and impair access to credit. These factors could negatively impact the liquidity or valuation of our current portfolio of cash, cash equivalents, and investments, which may affect our ability to fund future obligations. Further, these factors may result in an increase in interest rates and borrowing costs and make it more difficult to obtain credit on acceptable terms, which may affect our ability to fund future obligations and increase the costs of obtaining financing for future obligations.</w:t>
      </w:r>
    </w:p>
    <w:p>
      <w:pPr>
        <w:spacing w:after="0" w:line="16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Technical problems that affect either our customers’ ability to access our services, or the software, internal applications and systems underlying our services, could lead to reduced demand for our information, analytics and marketing services, lower revenues and increased costs</w:t>
      </w:r>
      <w:r>
        <w:rPr>
          <w:rFonts w:ascii="Arial" w:cs="Arial" w:eastAsia="Arial" w:hAnsi="Arial"/>
          <w:sz w:val="16"/>
          <w:szCs w:val="16"/>
          <w:color w:val="auto"/>
        </w:rPr>
        <w:t>. Our business increasingly</w:t>
      </w:r>
      <w:r>
        <w:rPr>
          <w:rFonts w:ascii="Arial" w:cs="Arial" w:eastAsia="Arial" w:hAnsi="Arial"/>
          <w:sz w:val="16"/>
          <w:szCs w:val="16"/>
          <w:i w:val="1"/>
          <w:iCs w:val="1"/>
          <w:color w:val="auto"/>
        </w:rPr>
        <w:t xml:space="preserve"> </w:t>
      </w:r>
      <w:r>
        <w:rPr>
          <w:rFonts w:ascii="Arial" w:cs="Arial" w:eastAsia="Arial" w:hAnsi="Arial"/>
          <w:sz w:val="16"/>
          <w:szCs w:val="16"/>
          <w:color w:val="auto"/>
        </w:rPr>
        <w:t>depends upon the satisfactory performance, reliability and availability of our website, the Internet and our service providers. Problems with our website, the Internet or the services provided by our local exchange carriers or internet service providers could result in slower connections for our customers or interfere with our customers’ access to our information, analytics and marketing services. If we experience technical problems in distributing our services, we could experience reduced demand for our information, analytics and marketing services. In addition, the software, internal applications and systems underlying our services are complex and may not be efficient or error-free. Our careful development and testing may not be sufficient to ensure that we will not encounter technical problems when we attempt to enhance our software, internal applications and systems. Any inefficiencies, errors or technical problems with our software, internal applications and systems could reduce the quality of our services or interfere with our customers’ access to our information, analytics and marketing services, which could reduce the demand for our services, lower our revenues and increase our costs.</w:t>
      </w:r>
    </w:p>
    <w:p>
      <w:pPr>
        <w:spacing w:after="0" w:line="16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Temporary or permanent outages of our computers, software or telecommunications equipment could lead to reduced demand for our information, analytics and marketing services, lower revenues and increased costs</w:t>
      </w:r>
      <w:r>
        <w:rPr>
          <w:rFonts w:ascii="Arial" w:cs="Arial" w:eastAsia="Arial" w:hAnsi="Arial"/>
          <w:sz w:val="16"/>
          <w:szCs w:val="16"/>
          <w:color w:val="auto"/>
        </w:rPr>
        <w:t>. Our operations depend on our ability to protect our databases, computers and software,</w:t>
      </w:r>
      <w:r>
        <w:rPr>
          <w:rFonts w:ascii="Arial" w:cs="Arial" w:eastAsia="Arial" w:hAnsi="Arial"/>
          <w:sz w:val="16"/>
          <w:szCs w:val="16"/>
          <w:i w:val="1"/>
          <w:iCs w:val="1"/>
          <w:color w:val="auto"/>
        </w:rPr>
        <w:t xml:space="preserve"> </w:t>
      </w:r>
      <w:r>
        <w:rPr>
          <w:rFonts w:ascii="Arial" w:cs="Arial" w:eastAsia="Arial" w:hAnsi="Arial"/>
          <w:sz w:val="16"/>
          <w:szCs w:val="16"/>
          <w:color w:val="auto"/>
        </w:rPr>
        <w:t>telecommunications equipment and facilities against damage from potential dangers such as fire, power loss, security breaches, computer viruses and telecommunications failures. Any temporary or permanent loss of one or more of these systems or facilities from an accident, equipment malfunction or some other cause could harm our business. If we experience a failure that prevents us from delivering our information, analytics and marketing services to clients, we could experience reduced demand for our information, analytics and marketing services, lower revenues and increased costs.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6" w:name="page27"/>
    <w:bookmarkEnd w:id="26"/>
    <w:p>
      <w:pPr>
        <w:jc w:val="both"/>
        <w:ind w:firstLine="324"/>
        <w:spacing w:after="0" w:line="288" w:lineRule="auto"/>
        <w:rPr>
          <w:sz w:val="20"/>
          <w:szCs w:val="20"/>
          <w:color w:val="auto"/>
        </w:rPr>
      </w:pPr>
      <w:r>
        <w:rPr>
          <w:rFonts w:ascii="Arial" w:cs="Arial" w:eastAsia="Arial" w:hAnsi="Arial"/>
          <w:sz w:val="16"/>
          <w:szCs w:val="16"/>
          <w:i w:val="1"/>
          <w:iCs w:val="1"/>
          <w:color w:val="auto"/>
        </w:rPr>
        <w:t xml:space="preserve">Our operating results and revenues are subject to fluctuations and our quarterly financial results may be subject to seasonality and market cyclicality, each of which could cause our stock price to be negatively affected. </w:t>
      </w:r>
      <w:r>
        <w:rPr>
          <w:rFonts w:ascii="Arial" w:cs="Arial" w:eastAsia="Arial" w:hAnsi="Arial"/>
          <w:sz w:val="16"/>
          <w:szCs w:val="16"/>
          <w:color w:val="auto"/>
        </w:rPr>
        <w:t>The commercial real estate market may be influenced by general economic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economic cycles, annual seasonality factors and many other factors, which in turn may impact our financial results. The market is large and fragmented. The different sectors of the industry, such as office, industrial, retail, multi-family, and others, are influenced differently by different factors, and have historically moved through economic cycles with different timing. As such, it is difficult to estimate the potential impact of economic cycles and conditions or seasonality from year-to-year on our overall operating results. In addition, our results may be impacted by seasonality. The timing of widely observed holidays and vacation periods, particularly slow downs during the end-of-year holiday period, and availability of real estate agents and related service providers during these periods, could significantly affect our quarterly operating results during that period. If we are unable to adequately respond to economic, seasonal or cyclical conditions, our revenues, expenses and operating results may fluctuate from quarter to quarter. Our operating results, revenues and expenses may fluctuate for many reasons, including those described below and elsewhere in this Annual Report on Form 10-K:</w:t>
      </w:r>
    </w:p>
    <w:p>
      <w:pPr>
        <w:spacing w:after="0" w:line="16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Rates of subscriber adoption and retention;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Timing of our sales conference or significant marketing events;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slow-down during the end-of-year holiday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pricing strategy and timing of changes;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success of new service introductions and enhancements;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shift of focus from, or phase out of services that overlap or are redundant with other services we offer;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and timing of our operating expenses and capital expenditures;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control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and timing of non-cash stock-based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related to acquisitions of businesses or technologies or impairment charges associated with such investments and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or consolidation in the real estate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investments in geographic expansion and to increase coverage in existing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rate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 execution of our expansion and integration plans;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development of our sales force;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Foreign currency and exchange rate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Inflation;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client budgets.</w:t>
      </w:r>
    </w:p>
    <w:p>
      <w:pPr>
        <w:spacing w:after="0" w:line="2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These fluctuations or seasonality effects could negatively affect our results of operations during the period in question and/or future periods or cause our stock price to decline. In addition, changes in accounting policies or practices may affect our level of net income. Fluctuations in our financial results, revenues and expenses may cause the market price of our common stock to decline.</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The consent order approved by the Federal Trade Commission in connection with the LoopNet merger imposes conditions that could have an adverse effect on us and our business, and failure to comply with the terms of the consent order may result in adverse consequences for the combined company. </w:t>
      </w:r>
      <w:r>
        <w:rPr>
          <w:rFonts w:ascii="Arial" w:cs="Arial" w:eastAsia="Arial" w:hAnsi="Arial"/>
          <w:sz w:val="18"/>
          <w:szCs w:val="18"/>
          <w:color w:val="auto"/>
        </w:rPr>
        <w:t>On</w:t>
      </w:r>
      <w:r>
        <w:rPr>
          <w:rFonts w:ascii="Arial" w:cs="Arial" w:eastAsia="Arial" w:hAnsi="Arial"/>
          <w:sz w:val="18"/>
          <w:szCs w:val="18"/>
          <w:i w:val="1"/>
          <w:iCs w:val="1"/>
          <w:color w:val="auto"/>
        </w:rPr>
        <w:t xml:space="preserve"> </w:t>
      </w:r>
      <w:r>
        <w:rPr>
          <w:rFonts w:ascii="Arial" w:cs="Arial" w:eastAsia="Arial" w:hAnsi="Arial"/>
          <w:sz w:val="18"/>
          <w:szCs w:val="18"/>
          <w:color w:val="auto"/>
        </w:rPr>
        <w:t>April 26, 2012, the FTC accepted the consent order in connection with the LoopNet merger that was previously agreed to between and among the FTC staff, CoStar, and LoopNet on April 17, 2012. The consent order was subject to a 30-day public comment period, and on August 29, 2012, the FTC issued its final acceptance of the consent order.</w:t>
      </w:r>
    </w:p>
    <w:p>
      <w:pPr>
        <w:spacing w:after="0" w:line="18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consent order, which is publicly available on the FTC's website at www.ftc.gov, requires CoStar to maintain certain business practices that the FTC believes are pro-competitive. For example, the consent order requires CoStar to maintain its customary practice of selling its products separately and on a market-by-market basis. It also requires CoStar to license its products to customers who have bought its competitors' products on a non-discriminatory basis. In addition, CoStar is required to maintain its customary licensing practices with respect to the length of its contracts, to allow customers with multi-year contracts to cancel with one year's advance notice, and to agree to reduce the cost of any litigation with customers by offering to arbitrate certain disputes. In the event that CoStar fails or is unable to comply with the terms of the consent order, CoStar could be subject to an enforcement proceeding that could result in substantial fines and/or injunctive relief. Further, the provisions of the consent order may result in unanticipated adverse effects on the combined company and, therefore, reduce our ability to realize the anticipated benefits of the merger. For example, the terms of the consent order that require us to continue to sell our products separately may prohibit us from combining or eliminating certain business lines, products or services that we believe will result in a long-term positive impact on our revenue and earnings.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7" w:name="page28"/>
    <w:bookmarkEnd w:id="27"/>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We have incurred and will continue to incur acquisition-related costs. </w:t>
      </w:r>
      <w:r>
        <w:rPr>
          <w:rFonts w:ascii="Arial" w:cs="Arial" w:eastAsia="Arial" w:hAnsi="Arial"/>
          <w:sz w:val="18"/>
          <w:szCs w:val="18"/>
          <w:color w:val="auto"/>
        </w:rPr>
        <w:t>We have incurred severance costs and expect to incur additional costs to integrate</w:t>
      </w:r>
      <w:r>
        <w:rPr>
          <w:rFonts w:ascii="Arial" w:cs="Arial" w:eastAsia="Arial" w:hAnsi="Arial"/>
          <w:sz w:val="18"/>
          <w:szCs w:val="18"/>
          <w:i w:val="1"/>
          <w:iCs w:val="1"/>
          <w:color w:val="auto"/>
        </w:rPr>
        <w:t xml:space="preserve"> </w:t>
      </w:r>
      <w:r>
        <w:rPr>
          <w:rFonts w:ascii="Arial" w:cs="Arial" w:eastAsia="Arial" w:hAnsi="Arial"/>
          <w:sz w:val="18"/>
          <w:szCs w:val="18"/>
          <w:color w:val="auto"/>
        </w:rPr>
        <w:t>prior acquisitions, such as IT integration expenses and costs related to the renegotiation of redundant vendor agreements. Costs in connection with acquisitions and integrations may be higher than expected, and we may also incur unanticipated acquisition-related costs. These costs could adversely affect our financial condition, results of operation or prospects of the combined business.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Changes in accounting and reporting policies or practices may affect our financial results or presentation of results, which may affect our stock price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accounting and reporting policies or practices could reduce our net income, which reductions may be independent of changes in our operations. These reductions in reported net income could cause our stock price to decline. For example, in 2006, we adopted authoritative guidance for stock compensation, which required us to expense the value of granted stock options.</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Market volatility may have an adverse effect on our stock price</w:t>
      </w:r>
      <w:r>
        <w:rPr>
          <w:rFonts w:ascii="Arial" w:cs="Arial" w:eastAsia="Arial" w:hAnsi="Arial"/>
          <w:sz w:val="18"/>
          <w:szCs w:val="18"/>
          <w:color w:val="auto"/>
        </w:rPr>
        <w:t>. The trading price of our common stock has fluctuated widely in the past, and we expect</w:t>
      </w:r>
      <w:r>
        <w:rPr>
          <w:rFonts w:ascii="Arial" w:cs="Arial" w:eastAsia="Arial" w:hAnsi="Arial"/>
          <w:sz w:val="18"/>
          <w:szCs w:val="18"/>
          <w:i w:val="1"/>
          <w:iCs w:val="1"/>
          <w:color w:val="auto"/>
        </w:rPr>
        <w:t xml:space="preserve"> </w:t>
      </w:r>
      <w:r>
        <w:rPr>
          <w:rFonts w:ascii="Arial" w:cs="Arial" w:eastAsia="Arial" w:hAnsi="Arial"/>
          <w:sz w:val="18"/>
          <w:szCs w:val="18"/>
          <w:color w:val="auto"/>
        </w:rPr>
        <w:t>that it will continue to fluctuate in the future. The price could fluctuate widely based on numerous factors, including: economic factors; quarter-to-quarter variations in our operating results; changes in analysts’ estimates of our earnings; announcements by us or our competitors of technological innovations or new services; general conditions in the commercial real estate industry; developments or disputes concerning copyrights or proprietary rights or other legal proceedings; and regulatory developments. In addition, the stock market in general, and the shares of internet-related and other technology companies in particular, have experienced extreme price fluctuations. This volatility has had a substantial effect on the market prices of securities issued by many companies for reasons unrelated to the operating performance of the specific companies and may have the same effect on the market price of our common stock.</w:t>
      </w:r>
    </w:p>
    <w:p>
      <w:pPr>
        <w:spacing w:after="0" w:line="18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headquarters is located at 1331 L Street, NW, in downtown Washington, DC, where we occupy approximately 149,500 square feet of office space. Our lease for our headquarters expires May 31, 2025 (with two 5-year renewal options). Our principal facility in the U.K. is located in London, England, where we occupy approximately 7,000 square feet of office space. Our lease for this facility has a maximum term ending July 8, 2023, with early termination at our option on July 9, 2018, with advance notice. This facility is used primarily by our International segment.</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to our two downtown Washington, DC leased facilities and our London, England facility, our research operations are principally run out of leased spaces in San Diego, California; Columbia, Maryland; Atlanta, Georgia; Glasgow, Scotland; and Paris, France. Additionally, we lease office space in a variety of other metropolitan areas. These locations include, without limitation, the following: New York; Los Angeles; Chicago; San Francisco; Sacramento; Boston; Orange County, California; Philadelphia; Houston; Phoenix; Detroit; Pittsburgh; Miami; Orlando; Denver; Dallas; Kansas City; Cleveland; Cincinnati; Indianapolis; Austin; Salt Lake City; Las Vegas; Seattle; Portland; St. Louis; Glendora, California; San Luis Obispo, California; Charlotte; Durham, North Carolina; Manchester, England and Toronto, Canada.</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these facilities are suitable and appropriately support our business needs.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Currently, and from time to time, we are involved in litigation incidental to the conduct of our business. Certain pending legal proceedings are discussed in Note 11 of the Notes to Consolidated Financial Statements included in this Annual Report on Form 10-K. We are not a party to any lawsuit or proceeding that, in the opinion of our management based on consultations with legal counsel, is likely to have a material adverse effect on our financial position or results of operations.</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the Registrant’s Common Stock, Related Stockholder Matters and Issuer Purchases of Equity Securities</w:t>
      </w:r>
    </w:p>
    <w:p>
      <w:pPr>
        <w:spacing w:after="0" w:line="229"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i w:val="1"/>
          <w:iCs w:val="1"/>
          <w:color w:val="auto"/>
        </w:rPr>
        <w:t xml:space="preserve">Price Range of Common Stock. </w:t>
      </w:r>
      <w:r>
        <w:rPr>
          <w:rFonts w:ascii="Arial" w:cs="Arial" w:eastAsia="Arial" w:hAnsi="Arial"/>
          <w:sz w:val="16"/>
          <w:szCs w:val="16"/>
          <w:color w:val="auto"/>
        </w:rPr>
        <w:t>Our common stock is traded on the Nasdaq Global Select Market under the symbol “CSGP.” The following table sets</w:t>
      </w:r>
      <w:r>
        <w:rPr>
          <w:rFonts w:ascii="Arial" w:cs="Arial" w:eastAsia="Arial" w:hAnsi="Arial"/>
          <w:sz w:val="16"/>
          <w:szCs w:val="16"/>
          <w:i w:val="1"/>
          <w:iCs w:val="1"/>
          <w:color w:val="auto"/>
        </w:rPr>
        <w:t xml:space="preserve"> </w:t>
      </w:r>
      <w:r>
        <w:rPr>
          <w:rFonts w:ascii="Arial" w:cs="Arial" w:eastAsia="Arial" w:hAnsi="Arial"/>
          <w:sz w:val="16"/>
          <w:szCs w:val="16"/>
          <w:color w:val="auto"/>
        </w:rPr>
        <w:t>forth, for the periods indicated, the high and low daily closing prices per share of our common stock, as reported by the Nasdaq Global Select Market.</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High</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Year Ended December 31, 2012</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81.20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67.26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89.54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77.06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8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 2013</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129.51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105.73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131.03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186.62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161.29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February 3, 2014, there were 797 holders of record of our common stock.</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Dividend Policy. </w:t>
      </w:r>
      <w:r>
        <w:rPr>
          <w:rFonts w:ascii="Arial" w:cs="Arial" w:eastAsia="Arial" w:hAnsi="Arial"/>
          <w:sz w:val="18"/>
          <w:szCs w:val="18"/>
          <w:color w:val="auto"/>
        </w:rPr>
        <w:t>We have never declared or paid any dividends on our common stock. Our Credit Agreement includes covenants that, subject to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exceptions, restrict our ability and the ability of our subsidiaries to pay dividends or distributions. Any future determination to pay dividends will be at the discretion of our Board of Directors, subject to applicable limitations under Delaware law, and will be dependent upon our results of operations, financial position and other factors deemed relevant by our Board of Directors. We do not anticipate paying any dividends on our common stock during the foreseeable future, but intend to retain any earnings for future growth of our business.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Recent Issues of Unregistered Securities. </w:t>
      </w:r>
      <w:r>
        <w:rPr>
          <w:rFonts w:ascii="Arial" w:cs="Arial" w:eastAsia="Arial" w:hAnsi="Arial"/>
          <w:sz w:val="18"/>
          <w:szCs w:val="18"/>
          <w:color w:val="auto"/>
        </w:rPr>
        <w:t>We did not issue any unregistered securities during the year ended December 31, 2013.</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Issuer Purchases of Equity Securities. </w:t>
      </w:r>
      <w:r>
        <w:rPr>
          <w:rFonts w:ascii="Arial" w:cs="Arial" w:eastAsia="Arial" w:hAnsi="Arial"/>
          <w:sz w:val="18"/>
          <w:szCs w:val="18"/>
          <w:color w:val="auto"/>
        </w:rPr>
        <w:t>The following table is a summary of our repurchases of common stock during each of the three months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ended December 31, 2013: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460" w:type="dxa"/>
            <w:vAlign w:val="bottom"/>
            <w:gridSpan w:val="6"/>
          </w:tcPr>
          <w:p>
            <w:pPr>
              <w:ind w:left="40"/>
              <w:spacing w:after="0"/>
              <w:rPr>
                <w:sz w:val="20"/>
                <w:szCs w:val="20"/>
                <w:color w:val="auto"/>
              </w:rPr>
            </w:pPr>
            <w:r>
              <w:rPr>
                <w:rFonts w:ascii="Arial" w:cs="Arial" w:eastAsia="Arial" w:hAnsi="Arial"/>
                <w:sz w:val="18"/>
                <w:szCs w:val="18"/>
                <w:color w:val="auto"/>
              </w:rPr>
              <w:t>ISSUER PURCHASES OF EQUITY SECURITIES</w:t>
            </w:r>
          </w:p>
        </w:tc>
        <w:tc>
          <w:tcPr>
            <w:tcW w:w="2160" w:type="dxa"/>
            <w:vAlign w:val="bottom"/>
          </w:tcPr>
          <w:p>
            <w:pPr>
              <w:spacing w:after="0"/>
              <w:rPr>
                <w:sz w:val="20"/>
                <w:szCs w:val="20"/>
                <w:color w:val="auto"/>
              </w:rPr>
            </w:pPr>
          </w:p>
        </w:tc>
      </w:tr>
      <w:tr>
        <w:trPr>
          <w:trHeight w:val="580"/>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Total Number of</w:t>
            </w:r>
          </w:p>
        </w:tc>
        <w:tc>
          <w:tcPr>
            <w:tcW w:w="2160" w:type="dxa"/>
            <w:vAlign w:val="bottom"/>
          </w:tcPr>
          <w:p>
            <w:pPr>
              <w:jc w:val="center"/>
              <w:spacing w:after="0"/>
              <w:rPr>
                <w:sz w:val="20"/>
                <w:szCs w:val="20"/>
                <w:color w:val="auto"/>
              </w:rPr>
            </w:pPr>
            <w:r>
              <w:rPr>
                <w:rFonts w:ascii="Arial" w:cs="Arial" w:eastAsia="Arial" w:hAnsi="Arial"/>
                <w:sz w:val="18"/>
                <w:szCs w:val="18"/>
                <w:color w:val="auto"/>
                <w:w w:val="94"/>
              </w:rPr>
              <w:t>Maximum Number of</w:t>
            </w: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Shares Purchased</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Shares that May Yet</w:t>
            </w: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center"/>
              <w:ind w:left="350"/>
              <w:spacing w:after="0"/>
              <w:rPr>
                <w:sz w:val="20"/>
                <w:szCs w:val="20"/>
                <w:color w:val="auto"/>
              </w:rPr>
            </w:pPr>
            <w:r>
              <w:rPr>
                <w:rFonts w:ascii="Arial" w:cs="Arial" w:eastAsia="Arial" w:hAnsi="Arial"/>
                <w:sz w:val="18"/>
                <w:szCs w:val="18"/>
                <w:color w:val="auto"/>
                <w:w w:val="92"/>
              </w:rPr>
              <w:t>Total Number of</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as Part of Publicly</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Be Purchased Under</w:t>
            </w: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center"/>
              <w:ind w:left="350"/>
              <w:spacing w:after="0"/>
              <w:rPr>
                <w:sz w:val="20"/>
                <w:szCs w:val="20"/>
                <w:color w:val="auto"/>
              </w:rPr>
            </w:pPr>
            <w:r>
              <w:rPr>
                <w:rFonts w:ascii="Arial" w:cs="Arial" w:eastAsia="Arial" w:hAnsi="Arial"/>
                <w:sz w:val="18"/>
                <w:szCs w:val="18"/>
                <w:color w:val="auto"/>
                <w:w w:val="84"/>
              </w:rPr>
              <w:t>Shares</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Average Price Paid</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Announced Plans</w:t>
            </w: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the Plans or</w:t>
            </w:r>
          </w:p>
        </w:tc>
      </w:tr>
      <w:tr>
        <w:trPr>
          <w:trHeight w:val="230"/>
        </w:trPr>
        <w:tc>
          <w:tcPr>
            <w:tcW w:w="2080" w:type="dxa"/>
            <w:vAlign w:val="bottom"/>
            <w:gridSpan w:val="2"/>
          </w:tcPr>
          <w:p>
            <w:pPr>
              <w:ind w:left="80"/>
              <w:spacing w:after="0"/>
              <w:rPr>
                <w:sz w:val="20"/>
                <w:szCs w:val="20"/>
                <w:color w:val="auto"/>
              </w:rPr>
            </w:pPr>
            <w:r>
              <w:rPr>
                <w:rFonts w:ascii="Arial" w:cs="Arial" w:eastAsia="Arial" w:hAnsi="Arial"/>
                <w:sz w:val="18"/>
                <w:szCs w:val="18"/>
                <w:color w:val="auto"/>
              </w:rPr>
              <w:t>Month, 2013</w:t>
            </w:r>
          </w:p>
        </w:tc>
        <w:tc>
          <w:tcPr>
            <w:tcW w:w="1720" w:type="dxa"/>
            <w:vAlign w:val="bottom"/>
          </w:tcPr>
          <w:p>
            <w:pPr>
              <w:jc w:val="center"/>
              <w:ind w:left="370"/>
              <w:spacing w:after="0"/>
              <w:rPr>
                <w:sz w:val="20"/>
                <w:szCs w:val="20"/>
                <w:color w:val="auto"/>
              </w:rPr>
            </w:pPr>
            <w:r>
              <w:rPr>
                <w:rFonts w:ascii="Arial" w:cs="Arial" w:eastAsia="Arial" w:hAnsi="Arial"/>
                <w:sz w:val="18"/>
                <w:szCs w:val="18"/>
                <w:color w:val="auto"/>
                <w:w w:val="85"/>
              </w:rPr>
              <w:t>Purchased</w:t>
            </w: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per Share</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or Programs</w:t>
            </w: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Programs</w:t>
            </w:r>
          </w:p>
        </w:tc>
      </w:tr>
      <w:tr>
        <w:trPr>
          <w:trHeight w:val="27"/>
        </w:trPr>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through 31</w:t>
            </w:r>
          </w:p>
        </w:tc>
        <w:tc>
          <w:tcPr>
            <w:tcW w:w="172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November 1 through 30</w:t>
            </w:r>
          </w:p>
        </w:tc>
        <w:tc>
          <w:tcPr>
            <w:tcW w:w="1720" w:type="dxa"/>
            <w:vAlign w:val="bottom"/>
          </w:tcPr>
          <w:p>
            <w:pPr>
              <w:jc w:val="center"/>
              <w:ind w:left="370"/>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through 31</w:t>
            </w:r>
          </w:p>
        </w:tc>
        <w:tc>
          <w:tcPr>
            <w:tcW w:w="1720" w:type="dxa"/>
            <w:vAlign w:val="bottom"/>
            <w:tcBorders>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88"/>
              </w:rPr>
              <w:t>4,948</w:t>
            </w:r>
          </w:p>
        </w:tc>
        <w:tc>
          <w:tcPr>
            <w:tcW w:w="4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$183.12</w:t>
            </w:r>
          </w:p>
        </w:tc>
        <w:tc>
          <w:tcPr>
            <w:tcW w:w="12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7"/>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auto"/>
            </w:tcBorders>
          </w:tcPr>
          <w:p>
            <w:pPr>
              <w:jc w:val="center"/>
              <w:ind w:left="350"/>
              <w:spacing w:after="0"/>
              <w:rPr>
                <w:sz w:val="20"/>
                <w:szCs w:val="20"/>
                <w:color w:val="auto"/>
              </w:rPr>
            </w:pPr>
            <w:r>
              <w:rPr>
                <w:rFonts w:ascii="Arial" w:cs="Arial" w:eastAsia="Arial" w:hAnsi="Arial"/>
                <w:sz w:val="18"/>
                <w:szCs w:val="18"/>
                <w:color w:val="auto"/>
                <w:w w:val="88"/>
              </w:rPr>
              <w:t>4,948</w:t>
            </w:r>
          </w:p>
        </w:tc>
        <w:tc>
          <w:tcPr>
            <w:tcW w:w="440" w:type="dxa"/>
            <w:vAlign w:val="bottom"/>
            <w:tcBorders>
              <w:top w:val="single" w:sz="8" w:color="auto"/>
            </w:tcBorders>
          </w:tcPr>
          <w:p>
            <w:pPr>
              <w:spacing w:after="0"/>
              <w:rPr>
                <w:sz w:val="20"/>
                <w:szCs w:val="20"/>
                <w:color w:val="auto"/>
              </w:rPr>
            </w:pPr>
          </w:p>
        </w:tc>
        <w:tc>
          <w:tcPr>
            <w:tcW w:w="480" w:type="dxa"/>
            <w:vAlign w:val="bottom"/>
          </w:tcPr>
          <w:p>
            <w:pPr>
              <w:jc w:val="right"/>
              <w:ind w:right="237"/>
              <w:spacing w:after="0"/>
              <w:rPr>
                <w:sz w:val="20"/>
                <w:szCs w:val="20"/>
                <w:color w:val="auto"/>
              </w:rPr>
            </w:pPr>
            <w:r>
              <w:rPr>
                <w:rFonts w:ascii="Arial" w:cs="Arial" w:eastAsia="Arial" w:hAnsi="Arial"/>
                <w:sz w:val="13"/>
                <w:szCs w:val="13"/>
                <w:color w:val="auto"/>
              </w:rPr>
              <w:t>(1)</w:t>
            </w: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$183.12</w:t>
            </w:r>
          </w:p>
        </w:tc>
        <w:tc>
          <w:tcPr>
            <w:tcW w:w="120" w:type="dxa"/>
            <w:vAlign w:val="bottom"/>
          </w:tcPr>
          <w:p>
            <w:pPr>
              <w:spacing w:after="0"/>
              <w:rPr>
                <w:sz w:val="20"/>
                <w:szCs w:val="20"/>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bl>
    <w:p>
      <w:pPr>
        <w:spacing w:after="0" w:line="229" w:lineRule="exact"/>
        <w:rPr>
          <w:sz w:val="20"/>
          <w:szCs w:val="20"/>
          <w:color w:val="auto"/>
        </w:rPr>
      </w:pPr>
    </w:p>
    <w:p>
      <w:pPr>
        <w:jc w:val="both"/>
        <w:ind w:left="340" w:hanging="8"/>
        <w:spacing w:after="0" w:line="232" w:lineRule="auto"/>
        <w:tabs>
          <w:tab w:leader="none" w:pos="541"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The number of shares purchased consists of shares of common stock tendered by employees to the Company to satisfy the employees’ minimum tax withholding obligations arising as a result of vesting of restricted stock grants under the Company’s 2007 Stock Incentive Plan, as amended, which shares were purchased by the Company based on their fair market value on the vesting date. None of these share purchases were part of a publicly announced program to purchase common stock of the Company.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stock performance graph below shows how an initial investment of $100 in our common stock would have compared to:</w:t>
      </w:r>
    </w:p>
    <w:p>
      <w:pPr>
        <w:spacing w:after="0" w:line="225" w:lineRule="exact"/>
        <w:rPr>
          <w:sz w:val="20"/>
          <w:szCs w:val="20"/>
          <w:color w:val="auto"/>
        </w:rPr>
      </w:pPr>
    </w:p>
    <w:p>
      <w:pPr>
        <w:ind w:left="840" w:hanging="332"/>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equal investment in the Standards &amp; Poor's Stock 500 (“S&amp;P 500”) Index;</w:t>
      </w:r>
    </w:p>
    <w:p>
      <w:pPr>
        <w:spacing w:after="0" w:line="225" w:lineRule="exact"/>
        <w:rPr>
          <w:rFonts w:ascii="Arial" w:cs="Arial" w:eastAsia="Arial" w:hAnsi="Arial"/>
          <w:sz w:val="18"/>
          <w:szCs w:val="18"/>
          <w:color w:val="auto"/>
        </w:rPr>
      </w:pPr>
    </w:p>
    <w:p>
      <w:pPr>
        <w:ind w:left="840" w:hanging="332"/>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equal investment in the S&amp;P 500 Internet Software &amp; Services Index; and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comparison covers the period beginning December 31, 2008, and ending on December 31, 2013, and assumes the reinvestment of any dividends.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You should note that this performance is historical and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142875</wp:posOffset>
            </wp:positionV>
            <wp:extent cx="5848985" cy="3422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8985" cy="3422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gridSpan w:val="3"/>
          </w:tcPr>
          <w:p>
            <w:pPr>
              <w:ind w:left="40"/>
              <w:spacing w:after="0"/>
              <w:rPr>
                <w:sz w:val="20"/>
                <w:szCs w:val="20"/>
                <w:color w:val="auto"/>
              </w:rPr>
            </w:pPr>
            <w:r>
              <w:rPr>
                <w:rFonts w:ascii="Arial" w:cs="Arial" w:eastAsia="Arial" w:hAnsi="Arial"/>
                <w:sz w:val="18"/>
                <w:szCs w:val="18"/>
                <w:color w:val="auto"/>
              </w:rPr>
              <w:t>Company / Index</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12/31/08</w:t>
            </w:r>
          </w:p>
        </w:tc>
        <w:tc>
          <w:tcPr>
            <w:tcW w:w="1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12/31/09</w:t>
            </w:r>
          </w:p>
        </w:tc>
        <w:tc>
          <w:tcPr>
            <w:tcW w:w="100" w:type="dxa"/>
            <w:vAlign w:val="bottom"/>
          </w:tcPr>
          <w:p>
            <w:pPr>
              <w:spacing w:after="0"/>
              <w:rPr>
                <w:sz w:val="20"/>
                <w:szCs w:val="20"/>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12/31/10</w:t>
            </w:r>
          </w:p>
        </w:tc>
        <w:tc>
          <w:tcPr>
            <w:tcW w:w="100" w:type="dxa"/>
            <w:vAlign w:val="bottom"/>
          </w:tcPr>
          <w:p>
            <w:pPr>
              <w:spacing w:after="0"/>
              <w:rPr>
                <w:sz w:val="20"/>
                <w:szCs w:val="20"/>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12/31/11</w:t>
            </w:r>
          </w:p>
        </w:tc>
        <w:tc>
          <w:tcPr>
            <w:tcW w:w="10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12/31/12</w:t>
            </w:r>
          </w:p>
        </w:tc>
        <w:tc>
          <w:tcPr>
            <w:tcW w:w="10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12/31/13</w:t>
            </w:r>
          </w:p>
        </w:tc>
      </w:tr>
      <w:tr>
        <w:trPr>
          <w:trHeight w:val="27"/>
        </w:trPr>
        <w:tc>
          <w:tcPr>
            <w:tcW w:w="39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CoStar Group, Inc.</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126.81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174.74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202.58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271.31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560.35</w:t>
            </w:r>
          </w:p>
        </w:tc>
      </w:tr>
      <w:tr>
        <w:trPr>
          <w:trHeight w:val="243"/>
        </w:trPr>
        <w:tc>
          <w:tcPr>
            <w:tcW w:w="720" w:type="dxa"/>
            <w:vAlign w:val="bottom"/>
          </w:tcPr>
          <w:p>
            <w:pPr>
              <w:ind w:left="40"/>
              <w:spacing w:after="0"/>
              <w:rPr>
                <w:sz w:val="20"/>
                <w:szCs w:val="20"/>
                <w:color w:val="auto"/>
              </w:rPr>
            </w:pPr>
            <w:r>
              <w:rPr>
                <w:rFonts w:ascii="Arial" w:cs="Arial" w:eastAsia="Arial" w:hAnsi="Arial"/>
                <w:sz w:val="18"/>
                <w:szCs w:val="18"/>
                <w:color w:val="auto"/>
                <w:w w:val="92"/>
              </w:rPr>
              <w:t>S&amp;P 500</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Index</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126.46</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145.51</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148.59</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172.37</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228.19</w:t>
            </w:r>
          </w:p>
        </w:tc>
      </w:tr>
      <w:tr>
        <w:trPr>
          <w:trHeight w:val="27"/>
        </w:trPr>
        <w:tc>
          <w:tcPr>
            <w:tcW w:w="7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S&amp;P 500</w:t>
            </w: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Internet Software &amp; Services Index</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184.67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189.39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199.35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238.88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355.42</w:t>
            </w:r>
          </w:p>
        </w:tc>
      </w:tr>
      <w:tr>
        <w:trPr>
          <w:trHeight w:val="459"/>
        </w:trPr>
        <w:tc>
          <w:tcPr>
            <w:tcW w:w="7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ind w:right="57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0" w:name="page31"/>
    <w:bookmarkEnd w:id="30"/>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Consolidated Financial and Operating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and Operating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and other operating data)</w:t>
      </w:r>
    </w:p>
    <w:p>
      <w:pPr>
        <w:spacing w:after="0" w:line="21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following table provides selected consolidated financial and other operating data for the five years ended December 31, 2013. The consolidated statement of operations data shown below for each of the three years ended December 31, 2011, 2012, and 2013 and the consolidated balance sheet data as of December 31, 2012 and 2013 are derived from audited consolidated financial statements that are included in this report. The consolidated statement of operations data for each of the years ended December 31, 2009 and 2010 and the consolidated balance sheet data as of December 31, 2009, 2010, and 2011 shown below are derived from audited consolidated financial statements for those years that are not included in this report. Information about prior period acquisitions that may affect the comparability of the selected financial information presented below is included in "Item 1. Business."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 of Operations Data:</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209,659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226,260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251,738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349,936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440,943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73,714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83,599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88,167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114,866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129,185</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135,945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142,661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163,571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235,070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311,758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104,110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119,886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141,800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207,630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257,604</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54,154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326</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(6,943)</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33,088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23,510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22,569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23,134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47,537</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14,395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17,803</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18,693</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13,289</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14,656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9,915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29,734</w:t>
            </w:r>
          </w:p>
        </w:tc>
      </w:tr>
      <w:tr>
        <w:trPr>
          <w:trHeight w:val="251"/>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91"/>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per share — 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w:t>
            </w:r>
          </w:p>
        </w:tc>
      </w:tr>
      <w:tr>
        <w:trPr>
          <w:trHeight w:val="251"/>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 basic</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19,780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20,330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23,131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26,533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27,670</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1"/>
        </w:trPr>
        <w:tc>
          <w:tcPr>
            <w:tcW w:w="4700" w:type="dxa"/>
            <w:vAlign w:val="bottom"/>
          </w:tcPr>
          <w:p>
            <w:pPr>
              <w:spacing w:after="0"/>
              <w:rPr>
                <w:sz w:val="20"/>
                <w:szCs w:val="20"/>
                <w:color w:val="auto"/>
              </w:rPr>
            </w:pPr>
            <w:r>
              <w:rPr>
                <w:rFonts w:ascii="Arial" w:cs="Arial" w:eastAsia="Arial" w:hAnsi="Arial"/>
                <w:sz w:val="18"/>
                <w:szCs w:val="18"/>
                <w:color w:val="auto"/>
              </w:rPr>
              <w:t>Weighted average shares outstanding — diluted</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19,925</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20,707</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23,527</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26,949</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28,212</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40" w:type="dxa"/>
            <w:vAlign w:val="bottom"/>
            <w:gridSpan w:val="6"/>
          </w:tcPr>
          <w:p>
            <w:pPr>
              <w:ind w:left="40"/>
              <w:spacing w:after="0"/>
              <w:rPr>
                <w:sz w:val="20"/>
                <w:szCs w:val="20"/>
                <w:color w:val="auto"/>
              </w:rPr>
            </w:pPr>
            <w:r>
              <w:rPr>
                <w:rFonts w:ascii="Arial" w:cs="Arial" w:eastAsia="Arial" w:hAnsi="Arial"/>
                <w:sz w:val="18"/>
                <w:szCs w:val="18"/>
                <w:b w:val="1"/>
                <w:bCs w:val="1"/>
                <w:color w:val="auto"/>
                <w:w w:val="88"/>
              </w:rPr>
              <w:t>As of December 31,</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980" w:type="dxa"/>
            <w:vAlign w:val="bottom"/>
            <w:gridSpan w:val="2"/>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Cash, cash equivalents, short-term and long-term investments   $</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255,698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239,316</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573,379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177,726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277,943</w:t>
            </w:r>
          </w:p>
        </w:tc>
      </w:tr>
      <w:tr>
        <w:trPr>
          <w:trHeight w:val="243"/>
        </w:trPr>
        <w:tc>
          <w:tcPr>
            <w:tcW w:w="4980" w:type="dxa"/>
            <w:vAlign w:val="bottom"/>
            <w:gridSpan w:val="2"/>
          </w:tcPr>
          <w:p>
            <w:pPr>
              <w:ind w:left="40"/>
              <w:spacing w:after="0"/>
              <w:rPr>
                <w:sz w:val="20"/>
                <w:szCs w:val="20"/>
                <w:color w:val="auto"/>
              </w:rPr>
            </w:pPr>
            <w:r>
              <w:rPr>
                <w:rFonts w:ascii="Arial" w:cs="Arial" w:eastAsia="Arial" w:hAnsi="Arial"/>
                <w:sz w:val="18"/>
                <w:szCs w:val="18"/>
                <w:color w:val="auto"/>
              </w:rPr>
              <w:t>Working capital</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203,660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188,279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521,401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97,925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196,913</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404,579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439,648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771,035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1,165,139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1,256,982</w:t>
            </w:r>
          </w:p>
        </w:tc>
      </w:tr>
      <w:tr>
        <w:trPr>
          <w:trHeight w:val="243"/>
        </w:trPr>
        <w:tc>
          <w:tcPr>
            <w:tcW w:w="4980" w:type="dxa"/>
            <w:vAlign w:val="bottom"/>
            <w:gridSpan w:val="2"/>
          </w:tcPr>
          <w:p>
            <w:pPr>
              <w:ind w:left="40"/>
              <w:spacing w:after="0"/>
              <w:rPr>
                <w:sz w:val="20"/>
                <w:szCs w:val="20"/>
                <w:color w:val="auto"/>
              </w:rPr>
            </w:pPr>
            <w:r>
              <w:rPr>
                <w:rFonts w:ascii="Arial" w:cs="Arial" w:eastAsia="Arial" w:hAnsi="Arial"/>
                <w:sz w:val="18"/>
                <w:szCs w:val="18"/>
                <w:color w:val="auto"/>
              </w:rPr>
              <w:t>Total long-term liabilities</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7,252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50,076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237,158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217,567</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359,006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381,502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659,177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826,343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927,862</w:t>
            </w:r>
          </w:p>
        </w:tc>
      </w:tr>
      <w:tr>
        <w:trPr>
          <w:trHeight w:val="675"/>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1" w:name="page32"/>
    <w:bookmarkEnd w:id="31"/>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contains “forward-looking statements,” including statements about our beliefs and expectations. There are many risks and uncertainties that could cause actual results to differ materially from those discussed in the forward-looking statements. Potential factors that could cause actual results to differ materially from those discussed in any forward-looking statements include, but are not limited to, those stated above in Item 1A. under the headings “Risk Factors - Cautionary Statement Concerning Forward-Looking Statements” and “- Risk Factors,” as well as those described from time to time in our filings with the Securities and Exchange Commission.</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All forward-looking statements are based on information available to us on the date of this filing and we assume no obligation to update such statements, whether as a result of new information, future events or otherwise. The following discussion should be read in conjunction with our Quarterly Reports on Form 10-Q, Current Reports on Form 8-K and other filings with the Securities and Exchange Commission and the consolidated financial statements and related notes included in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CoStar Group, Inc. (the “Company” or “CoStar”) is the number one provider of information, analytics and marketing services to the commercial real estate industry in the United States ("U.S.") and the United Kingdom ("U.K.") based on the fact that we offer the most comprehensive commercial real estate database available; have the largest research department in the industry; own and operate the leading online marketplace for commercial real estate in the U.S. based on the number of unique visitors per month; provide more information, analytics and marketing services than any of our competitors and believe that we generate more revenues than any of our competitors. We have created and compiled our standardized information, analytics and marketing platform where members of the commercial real estate and related business community can continuously interact and facilitate transactions by efficiently exchanging accurate and standardized commercial real estate information. Our integrated suite of online service offerings includes information about space available for lease, comparable sales information, information about properties for sale, tenant information, internet marketing services, analytical capabilities, information for clients' websites, information about industry professionals and their business relationships, data integration and industry news.</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LoopNet, our subsidiary, operates an online marketplace that enables property owners, landlords, and commercial real estate agents working on their behalf to list properties for sale or for lease and to submit detailed information about property listings. Commercial real estate agents, buyers and tenants also use LoopNet's online marketplace to search for available property listings that meet their criteria.</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also provide market research and analysis for commercial real estate investors and lenders via our Property and Portfolio Research (“PPR”) service offerings, portfolio and debt management and reporting capabilities through our Resolve Technology service offerings, and real estate and lease management solutions, including lease administration and abstraction services, through our Virtual Premise service offerings.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service offerings span all commercial property types, including office, industrial, retail, land, mixed-use, hospitality and multifamily.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Subscription-Based Services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6"/>
          <w:szCs w:val="16"/>
          <w:color w:val="auto"/>
        </w:rPr>
        <w:t>Our subscription-based information services consist primarily of CoStar Suite</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and FOCUS</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services. CoStar Suite is sold as a platform of service offerings consisting of CoStar Property Professional®, CoStar COMPS Professional® and CoStar Tenant® and through our mobile application, CoStarGo®. CoStar Suite is our primary service offering in our U.S. operating segment. FOCUS is our primary service offering in our International operating segment. Additionally, we introduced CoStar Suite in the U.K. in the fourth quarter of 2012 and no longer offered FOCUS to new clients beginning in 2013.</w:t>
      </w:r>
    </w:p>
    <w:p>
      <w:pPr>
        <w:spacing w:after="0" w:line="18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subscription-based services consist primarily of similar services offered over the Internet to commercial real estate industry and related professionals. Our services are typically distributed to our clients under subscription-based license agreements that renew automatically, a majority of which have a term of one year. Upon renewal, many of the subscription contract rates may change in accordance with contract provisions or as a result of contract renegotiations. To encourage clients to use our services regularly, we generally charge a fixed monthly amount for our subscription-based information services rather than charging fees based on actual system usage. Contract rates are generally based on the number of sites, number of users, organization size, the client's business focus, geography and the number of services to which a client subscribes. Our subscription clients generally pay contract fees on a monthly basis, but in some cases may pay us on a quarterly or annual basis.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0" w:right="239" w:bottom="1440" w:gutter="0" w:footer="0" w:header="0"/>
        </w:sectPr>
      </w:pPr>
    </w:p>
    <w:bookmarkStart w:id="32" w:name="page33"/>
    <w:bookmarkEnd w:id="32"/>
    <w:p>
      <w:pPr>
        <w:jc w:val="both"/>
        <w:ind w:firstLine="324"/>
        <w:spacing w:after="0" w:line="257" w:lineRule="auto"/>
        <w:rPr>
          <w:sz w:val="20"/>
          <w:szCs w:val="20"/>
          <w:color w:val="auto"/>
        </w:rPr>
      </w:pPr>
      <w:r>
        <w:rPr>
          <w:rFonts w:ascii="Arial" w:cs="Arial" w:eastAsia="Arial" w:hAnsi="Arial"/>
          <w:sz w:val="18"/>
          <w:szCs w:val="18"/>
          <w:color w:val="auto"/>
        </w:rPr>
        <w:t>As of December 31, 2012 and 2013, our annualized net new sales of subscription-based services on annual contracts were approximately $10.9 million and $15.8 million, respectively, calculated based on the annualized amount of change in our sales resulting from new annual subscription-based contracts or upsales on existing annual subscription-based contracts, less write downs and cancellations, for the period reported. We recognize subscription revenue on a straight-line basis over the life of the contract. Annual and quarterly advance payments result in deferred revenue, substantially reducing the working capital requirements generated by accounts receivable.</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twelve months ended December 31, 2012 and 2013, our contract renewal rate for existing CoStar subscription-based services was approximately 94% and 93%, respectively, and therefore our cancellation rate for those services was approximately 6% and 7%, respectively, for the same time periods. Our contract renewal rate is a quantitative measurement that is typically closely correlated with our revenue results. As a result, management also believes that the rate may be a reliable indicator of short-term and long-term performance. Our trailing twelve-month contract renewal rate may decline if, among other reasons, negative economic conditions lead to greater business failures and/or consolidations among our clients, reductions in customer spending, or decreases in our customer base.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Expansion and Development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expect to continue software development to improve existing services, introduce new services, integrate products and services, cross-sell existing services, and expand and develop supporting technologies for our research, sales and marketing organizations. We are committed to supporting and improving our existing core information, news, analytic and marketing services.</w:t>
      </w:r>
    </w:p>
    <w:p>
      <w:pPr>
        <w:spacing w:after="0" w:line="181"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7"/>
          <w:szCs w:val="17"/>
          <w:color w:val="auto"/>
        </w:rPr>
        <w:t>In October 2013, we introduced technology enhancements to CoStar Suite, our platform of service offerings consisting of CoStar Property Professional, CoStar COMPS Professional and CoStar Tenant. The enhancements improve CoStar Suite's user interface, search functionality and analytic capabilities. The newly introduced CoStar Multifamily</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information search allows access to our extensive multifamily property database. In addition, we introduced CoStar Lease Analysis</w:t>
      </w:r>
      <w:r>
        <w:rPr>
          <w:rFonts w:ascii="Arial" w:cs="Arial" w:eastAsia="Arial" w:hAnsi="Arial"/>
          <w:sz w:val="24"/>
          <w:szCs w:val="24"/>
          <w:color w:val="auto"/>
          <w:vertAlign w:val="superscript"/>
        </w:rPr>
        <w:t>TM</w:t>
      </w:r>
      <w:r>
        <w:rPr>
          <w:rFonts w:ascii="Arial" w:cs="Arial" w:eastAsia="Arial" w:hAnsi="Arial"/>
          <w:sz w:val="17"/>
          <w:szCs w:val="17"/>
          <w:color w:val="auto"/>
        </w:rPr>
        <w:t>, an integrated workflow tool that provides users a simple way to produce understandable cash flows for any proposed or existing lease. We will continue software development on our new Lease Analysis workflow tool throughout 2014. We believe this greater functionality will make our services valuable to an even broader audience and help us increase sales of our services to brokers, banks, owners and institutional investors. Further, these technology enhancements are expected to drive continued revenue growth in 2014 and for the foreseeable future. We expect additional selling and marketing activities to promote our new service enhancements will result in increased expenses in 2014.</w:t>
      </w:r>
    </w:p>
    <w:p>
      <w:pPr>
        <w:spacing w:after="0" w:line="20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October 2013, we also released CoStarGo® 2.0, the next generation of our mobile application, which was launched in the U.S. on August 15, 2011 and introduced in the U.K. on November 5, 2012. CoStarGo is our iPad application that integrates and provides CoStar Suite subscribers mobile access to our comprehensive property, tenant and comparable sales information. CoStarGo 2.0 adds powerful analytic capabilities to our comprehensive mobile solution.</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introduced enhancements to our flagship marketing platform, LoopNet.com. For example, we added a broker advertising service that allows brokers to purchase advertisements based on geographic and property type criteria. Additionally, we introduced ProVideo, a service that enables owners and brokers to enhance their listings with high quality videos of interior spaces, amenities and exterior features. We expect to continue software development to improve the LoopNet marketing platform in 2014.</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continue to integrate, develop and cross-sell the services offered by the companies we acquired, including LoopNet, Virtual Premise, Resolve Technology and PPR. In some cases, when integrating and coordinating our services and assessing industry needs, we may decide, or may have previously decided, to combine, shift focus from, de-emphasize, phase out, or eliminate a service that overlaps or is redundant with other services we offer.</w:t>
      </w:r>
    </w:p>
    <w:p>
      <w:pPr>
        <w:spacing w:after="0" w:line="14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sales and marketing efforts have focused and will continue to focus on cross-selling and marketing our services. We recently implemented an automatic cross-selling initiative within the LoopNet marketplace. As searchers view properties within the LoopNet marketplace, a message may appear indicating that there are additional listings available within CoStar Suite with the same search criteria that they are not able to access under their current subscription. The message provides contact information, so that the customer can reach their customer service or sales representative and review the most appropriate service for their needs. Our goal is to upsell clients to the services that best meet their needs and to create further cross-selling revenue synergies. In addition, we have added a comparison feature to CoStarGo, which allows our sales force to demonstrate how many more properties a prospect could see with respect to a particular search area if that prospect were using CoStar Suite rather than the prospect’s current subscription with LoopNet.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3" w:name="page34"/>
    <w:bookmarkEnd w:id="33"/>
    <w:p>
      <w:pPr>
        <w:jc w:val="both"/>
        <w:ind w:firstLine="324"/>
        <w:spacing w:after="0" w:line="257" w:lineRule="auto"/>
        <w:rPr>
          <w:sz w:val="20"/>
          <w:szCs w:val="20"/>
          <w:color w:val="auto"/>
        </w:rPr>
      </w:pPr>
      <w:r>
        <w:rPr>
          <w:rFonts w:ascii="Arial" w:cs="Arial" w:eastAsia="Arial" w:hAnsi="Arial"/>
          <w:sz w:val="18"/>
          <w:szCs w:val="18"/>
          <w:color w:val="auto"/>
        </w:rPr>
        <w:t>Our revenues have increased as a result of the LoopNet merger and prior acquisitions, due to revenue from the acquired businesses and from cross-selling opportunities among the customers of CoStar and the acquired companies. As a result of cross selling CoStar's and LoopNet's complementary services, we began to achieve increased revenue synergies in 2013. We also incurred increased expenses associated with the related marketing and sales campaign in 2012 and during the first half of 2013. These initiatives resulted in revenue growth, and we expect they will continue to position the company for revenue growth during 2014 and for the foreseeable future.</w:t>
      </w:r>
    </w:p>
    <w:p>
      <w:pPr>
        <w:spacing w:after="0" w:line="18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continue to integrate our international operations more fully with those in the U.S. We intend to continue to upgrade the platform of services and expand the coverage of our service offerings within our International segment. To further develop those initiatives, we introduced CoStar Suite in the U.K. during the fourth quarter of 2012 and no longer offered FOCUS to new clients beginning in 2013. CoStar Suite is sold as a consistent international platform of service offerings consisting of CoStar Property Professional, CoStar COMPS Professional and CoStar Tenant and through the Company's mobile application, CoStarGo. CoStarGo 2.0 was released in the U.K. in October 2013 simultaneous with the release in the U.S. Additionally, we have upgraded our back-end research operations, fulfillment and Customer Relationship Management (“CRM”) systems to support these new U.K. services. In order to implement these services in the U.K., we incurred increased development costs through 2012; however, development costs incurred by the International segment decreased in 2013. The International operating segment continues to experience improved financial performance and most recently, during the three months ended December 31, 2013, International EBITDA increased to a positive amount as a result of increased revenue and decreased operating expenses.</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2014, we expect to expand further internationally by offering our services in Toronto, Canada. We believe that our integration efforts and continued investments in our services, including expansion of our existing service offerings internationally, have created a platform for long-term revenue growth. We expect these investments to result in further penetration of our international subscription-based information services and the successful cross-selling of our services to customers in existing markets.</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intend to continue to assess the need for additional investments in our business, in addition to the investments discussed above in order to develop and distribute new services within our current platform. Any future product development or expansion of services, combination and coordination of services or elimination of services could reduce our profitability and increase our capital expenditures. Therefore, while we expect current service offerings to remain profitable, driving overall earnings in 2014 and providing substantial cash flow for our business, it is possible that any new investments, changes to our service offerings or other unforeseen events could cause us to generate losses and negative cash flow from operations in the future. Further, our credit facilities contain restrictive covenants that restrict our operations and use of our cash flow, which may prevent us from taking certain actions that we believe could increase our profitability or otherwise enhance our business.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Market Conditions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general, the current economic recovery has been slower than past economic recoveries. Job growth, in particular, has recovered more slowly than in past economic recoveries, and as a result, the improvement in the commercial real estate industry has been slower, especially with respect to the rental rate growth. Continuing near-term risks related to lower-than-expected job growth, government fiscal challenges, and uncertainty over U.S. and global economic issues may impede the ability and willingness of clients to purchase services from us or result in reductions of services purchased. Additionally, since many of our clients use debt to finance a portion of their real estate purchases, material changes in interest rates and risk premiums could harm their ability to complete transactions, especially if the change was relatively rapid and unexpected.</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is typical of this point in the economic cycle, business consolidations, and in some circumstances, business failures, continue to occur. If cancellations, reductions of services, and failures to pay increase, and we are unable to offset the resulting decrease in revenue by increasing sales to new or existing customers, our revenues may decline or grow at lower rates. We compete against many other commercial real estate information, analytics, and marketing service providers for business, including competitors that offer rapidly changing methods of delivering real estate information. If customers choose to cancel our services because of cost cutting, desire to access real estate information through other delivery methods, or other reasons, our revenue could decline.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4" w:name="page35"/>
    <w:bookmarkEnd w:id="34"/>
    <w:p>
      <w:pPr>
        <w:ind w:left="340"/>
        <w:spacing w:after="0"/>
        <w:rPr>
          <w:sz w:val="20"/>
          <w:szCs w:val="20"/>
          <w:color w:val="auto"/>
        </w:rPr>
      </w:pPr>
      <w:r>
        <w:rPr>
          <w:rFonts w:ascii="Arial" w:cs="Arial" w:eastAsia="Arial" w:hAnsi="Arial"/>
          <w:sz w:val="18"/>
          <w:szCs w:val="18"/>
          <w:u w:val="single" w:color="auto"/>
          <w:color w:val="auto"/>
        </w:rPr>
        <w:t>Financial Matters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financial reporting currency is the U.S. dollar. Changes in exchange rates can significantly affect our reported results and consolidated trends. We believe that our increasing diversification beyond the U.S. economy through our international businesses benefits our stockholders over the long term. We also believe it is important to evaluate our operating results before and after the effect of currency changes, as it may provide a more accurate comparison of our results of operations over historical periods. Currency exchange rate volatility may continue, which may impact (either positively or negatively) our reported financial results and consolidated trends and period-to-period comparisons of our consolidated operations.</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currently issue stock options and/or restricted stock to our officers, directors and employees, and as a result we record compensation expense in our consolidated statements of operations. The amount and timing of the compensation expense that we record depends on the amount and types of equity grants made. We plan to continue to use stock-based compensation for our officers, directors and employees, which may include, among other things, restricted stock, restricted stock units or stock option grants that typically will require us to record additional compensation expense in our consolidated statements of operations and reduce our net income.</w:t>
      </w:r>
    </w:p>
    <w:p>
      <w:pPr>
        <w:spacing w:after="0" w:line="18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In February 2012, the Compensation Committee (the “Committee”) of the Board of Directors approved grants of restricted common stock to our executive officers that vest based on the achievement of CoStar performance conditions. Specifically, these shares of performance-based restricted common stock vest upon our achievement of $90.0 million of cumulative net income before interest, income taxes, depreciation and amortization ("EBITDA") over a period of four consecutive calendar quarters, and are subject to forfeiture in the event the foregoing performance condition is not met by March 31, 2017. These awards support the Committee’s goals of aligning executive incentives with long-term stockholder value and ensuring that executive officers have a continuing stake in the long-term success of CoStar. In May and December of 2012, we granted additional shares of restricted common stock that vest based on the achievement of the same performance conditions to other key employees. We granted a total of 399,413 shares of performance-based restricted common stock during the year ended December 31, 2012. There was no performance-based restricted common stock granted during the year ended December 31, 2013. All of the awards were made under the CoStar Group, Inc. 2007 Stock Incentive Plan and pursuant to our standard form of restricted stock grant agreement. The number of shares granted was based on the fair market value of CoStar’s common stock on the grant date. As of March 31, 2013, we initially determined that it was probable that the performance condition for these performance-based restricted common stock awards would be met by the March 31, 2017 forfeiture date. As of December 31, 2013, we reassessed the probability of achieving this performance condition and determined that it was still probable that the performance condition for these awards would be met by the March 31, 2017 forfeiture date, subject to certain approvals under the CoStar Group, Inc. 2007 Stock Incentive Plan. As a result,we recorded a total of approximately $21.8 million of stock-based compensation expense related to performance-based restricted common stock for the year ended December 31, 2013. There was no stock-based compensation expense related to performance-based restricted common stock recorded for the years ended December 31, 2011 and 2012.</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Property Developments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in the past, we expect to continue to identify new facilities and consolidate existing facilities to better accommodate the changing demands of our business and employees. As a result, we may incur additional lease restructuring charges for the abandonment of certain lease space and the impairment of leasehold improvements.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 and Estimates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preparation of financial statements and related disclosures in conformity with U.S. generally accepted accounting principles (“GAAP”) requires management to make estimates and assumptions that affect the reported amounts of assets and liabilities, the disclosure of contingent assets and liabilities at the date of the financial statements and revenues and expenses during the period reported. The following accounting policies involve a “critical accounting estimate” because they are particularly dependent on estimates and assumptions made by management about matters that are highly uncertain at the time the accounting estimates are made. In addition, while we have used our best estimates based on facts and circumstances available to us at the time, different acceptable assumptions would yield different results. Changes in the accounting estimates are reasonably likely to occur from period to period, which may have a material impact on the presentation of our financial condition and results of operations. We review these estimates and assumptions periodically and reflect the effects of revisions in the period that they are determined to be necessary.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Fair Value of Auction Rate Securities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Fair value is defined as the price that would be received in the sale of an asset or paid to transfer a liability in an orderly transaction between market participants. There is a three-tier fair value hierarchy, which categorizes assets and liabilities by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for which little or no market data exists, therefore requiring an entity to develop its own assumptions. Our Level 3 assets consist of auction rate securities (“ARS”), whose underlying assets are primarily student loan securities supported by guarantees from the Federal Family Education Loan Program (“FFELP”) of the U.S. Department of Education.</w:t>
      </w:r>
    </w:p>
    <w:p>
      <w:pPr>
        <w:spacing w:after="0" w:line="17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ARS investments are not currently actively trading and therefore do not currently have a readily determinable market value. The estimated fair value of the ARS no longer approximates par value. We have used a discounted cash flow model to determine the estimated fair value of our investment in ARS as of December 31, 2013. The assumptions used in preparing the discounted cash flow model include estimates for interest rates, credit spreads, timing and amount of contractual cash flows, liquidity risk premiums, expected holding periods and default risk of the ARS. We update the discounted cash flow model on a quarterly basis to reflect any changes in the assumptions used in the model and settlements of ARS investments that occurred during the period.</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only significant unobservable input in the discounted cash flow model is the discount rate. The discount rate used represents our estimate of the yield expected by a market participant from the ARS investments. The weighted average discount rate used in the discounted cash flow model as of December 31, 2012 and 2013 was approximately 5.1% and 4.9%, respectively. Selecting another discount rate within the range used in the discounted cash flow model would not result in a significant change to the fair value of the ARS.</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Based on this assessment of fair value, as of December 31, 2013, we determined there was a decline in the fair value of our ARS investments of approximately $1.5 million. The decline was deemed to be a temporary impairment and recorded as an unrealized loss in accumulated other comprehensive loss in stockholders’ equity. If the issuers of these ARS are unable to successfully close future auctions and/or their credit ratings deteriorate, we may be required to record additional unrealized losses in accumulated other comprehensive loss or an other-than-temporary impairment charge to earnings on these investments, which would reduce our profitability and adversely affect our financial position.</w:t>
      </w:r>
    </w:p>
    <w:p>
      <w:pPr>
        <w:spacing w:after="0" w:line="1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not made any material changes in the accounting methodology used to determine the fair value of the ARS. We do not expect any material changes in the near term to the underlying assumptions used to determine the unobservable inputs used to calculate the fair value of the ARS as of December 31, 2013. However, if changes in these assumptions occur, and, should those changes be significant, we may be exposed to additional unrealized losses in accumulated other comprehensive loss or an other-than-temporary impairment charge to earnings on these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account for equity instruments issued in exchange for employee services using a fair-value based method and we recognize the fair value of such equity instruments as an expense in the consolidated statements of operations. We estimated the fair value of each option granted on the date of grant using the Black-Scholes option-pricing model, which requires us to estimate the dividend yield, expected volatility, risk-free interest rate and expected life of the stock option. These assumptions and the estimation of expected forfeitures are based on multiple factors, including historical employee behavior patterns of exercising options and post-employment termination behavior, expected future employee option exercise patterns, and the historical volatility of our stock price. For equity instruments that vest based on performance, we assess the probability of the achievement of the performance conditions at the end of each reporting period, or more frequently based upon the occurrence of events that may change the probability of whether the performance conditions would be met. If our initial estimates of the achievement of the performance conditions change, the related stock-based compensation expense and timing of recognition may fluctuate from period to period based on those estimates. If the performance conditions are not met, no stock-based compensation expense will be recognized, and any previously recognized stock-based compensation expense will be reversed.</w:t>
      </w:r>
    </w:p>
    <w:p>
      <w:pPr>
        <w:spacing w:after="0" w:line="16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do not expect any material changes in the near term to the underlying assumptions used to calculate stock-based compensation expense for the year ended December 31, 2013. However, if changes in these assumptions occur, and, should those changes be significant, they could have a material impact on our stock-based compensation expense.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Valuation of Long-Lived and Intangible Assets and Goodwill</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assess the impairment of long-lived assets, identifiable intangibles and goodwill whenever events or changes in circumstances indicate that the carrying value may not be recoverable. Judgments made by management relate to the expected useful lives of long-lived assets and our ability to realize any undiscounted cash flows of the carrying amounts of such assets. The accuracy of these judgments may be adversely affected by several factors, including the factors listed below:</w:t>
      </w:r>
    </w:p>
    <w:p>
      <w:pPr>
        <w:spacing w:after="0" w:line="187" w:lineRule="exact"/>
        <w:rPr>
          <w:sz w:val="20"/>
          <w:szCs w:val="20"/>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underperformance relative to historical or projected future operating results;</w:t>
      </w:r>
    </w:p>
    <w:p>
      <w:pPr>
        <w:spacing w:after="0" w:line="23"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negative industry or economic trends; or</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decline in our market capitalization relative to net book value for a sustained period.</w:t>
      </w:r>
    </w:p>
    <w:p>
      <w:pPr>
        <w:spacing w:after="0" w:line="2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When we determine that the carrying value of long-lived and identifiable intangible assets may not be recovered based upon the existence of one or more of the above indicators, we test for impairment.</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Goodwill and identifiable intangible assets that are not subject to amortization are tested annually for impairment by each reporting unit on October 1 of each year and are also tested for impairment more frequently based upon the existence of one or more of the above indicators. We consider our operating segments, U.S. and International, as our reporting units under Financial Accounting Standards Board ("FASB") authoritative guidance for consideration of potential impairment of goodwill.</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To determine whether it is necessary to perform the two-step goodwill impairment test, we may first assess qualitative factors to evaluate whether it is more likely than not that the fair value of a reporting unit is less than its carrying amount. If we conclude that it is more likely than not that the fair value of a reporting unit is less than its carrying amount or if we elect not to assess qualitative factors, then we perform the two-step process. The first step is to determine the fair value of each reporting unit. We estimate the fair value of each reporting unit based on a projected discounted cash flow model that includes significant assumptions and estimates including our discount rate, growth rate and future financial performance. Assumptions about the discount rate are based on a weighted average cost of capital for comparable companies. Assumptions about the growth rate and future financial performance of a reporting unit are based on our forecasts, business plans, economic projections and anticipated future cash flows. Our assumptions regarding the future financial performance of the International reporting unit reflect our expectation as of October 1, 2013, that revenues will increase as a result of further penetration of our international subscription-based information services and the successful cross-selling of our services to our customers in existing markets due to the release of our upgraded international platform and expansion of coverage of our international service offerings. These assumptions are subject to change from period to period and could be adversely impacted by the uncertainty surrounding global market conditions, commercial real estate conditions, and the competitive environment in which we operate. Changes in these or other factors could negatively affect our reporting units' fair value and potentially result in impairment charges. Such impairment charges could have an adverse effect on our results of operations.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fair value of each reporting unit is compared to the carrying amount of the reporting unit. If the carrying value of the reporting unit exceeds the fair value, then the second step of the process is performed to measure the impairment loss. We measure impairment loss based on a projected discounted cash flow method using a discount rate determined by our management to be commensurate with the risk in our current business model. As of October 1, 2013, the date of our most recent impairment analysis, the estimated fair value of each of our reporting units substantially exceeded the carrying value of our reporting units. There have been no events or changes in circumstances since the date of our impairment analysis on October 1, 2013 that would indicate that the carrying value of each reporting unit may not be recoverable.</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To determine whether it is necessary to perform the quantitative impairment test for indefinite-lived intangible assets, we may first assess qualitative factors to evaluate whether it is more likely than not that the fair value of the indefinite-lived intangible assets is less than the carrying amount. If we conclude that it is more likely than not that the fair value of the indefinite-lived intangible assets is less than the carrying amount or if we elect not to assess qualitative factors, then we perform the quantitative impairment test similar to the test performed on goodwill discussed above.</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October 1, 2013, the date of our most recent impairment analysis, the estimated fair value of our indefinite-lived intangible assets substantially exceeded the carrying value. There have been no events or changes in circumstances since the date of our impairment analysis on October 1, 2013 that would indicate that the carrying value of the indefinite-lived intangible asset may not be recoverable.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Accounting for Income Taxes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income taxes in each of the jurisdictions in which we operate. This process requires us to estimate our actual current tax exposure and assess the temporary differences resulting from differing treatment of items, such as deferred revenue or deductibility of certain intangible assets, for tax and accounting purposes. These differences result in deferred tax assets and liabilities, which are included within our consolidated balance sheets. We must then also assess the likelihood that our deferred tax assets will be recovered from future taxable income, and, to the extent we believe that it is more-likely-than not that some portion or all of our deferred tax assets will not be realized, we must establish a valuation allowance. To the extent we establish a valuation allowance or change the allowance in a period, we must reflect the corresponding increase or decrease within the tax provision in the consolidated statements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prepare and publicly release quarterly unaudited financial statements prepared in accordance with GAAP. We also disclose and discuss certain non-GAAP financial measures in our public releases, investor conference calls and filings with the Securities and Exchange Commission. The non-GAAP financial measures that we may disclose include EBITDA, adjusted EBITDA, non-GAAP net income and non-GAAP net income per diluted share (also referred to as "non-GAAP EPS"). EBITDA is our net income before interest, income taxes, depreciation and amortization. We typically disclose EBITDA on a consolidated and an operating segment basis in our earnings releases, investor conference calls and filings with the Securities and Exchange Commission. Adjusted EBITDA is different from EBITDA because we further adjust EBITDA for stock-based compensation expense, acquisition- and integration-related costs, restructuring costs and settlements and impairments incurred outside our ordinary course of business. Non-GAAP net income and non-GAAP net income per diluted share are similarly adjusted for stock-based compensation expense, acquisition- and integration-related costs, restructuring costs, settlement and impairment costs incurred outside our ordinary course of business as well as purchase amortization and other related costs. We may disclose adjusted EBITDA, non-GAAP net income and non-GAAP net income per diluted share on a consolidated basis in our earnings releases, investor conference calls and filings with the Securities and Exchange Commission. The non-GAAP financial measures that we use may not be comparable to similarly titled measures reported by other companies. Also, in the future, we may disclose different non-GAAP financial measures in order to help our investors more meaningfully evaluate and compare our results of operations to our previously reported results of operations or to those of other companies in our industry.</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view EBITDA, adjusted EBITDA, non-GAAP net income and non-GAAP net income per diluted share as operating performance measures and as such we believe that the most directly comparable GAAP financial measure is net income. In calculating EBITDA, adjusted EBITDA, non-GAAP net income and non-GAAP net income per diluted share, we exclude from net income the financial items that we believe should be separately identified to provide additional analysis of the financial components of the day-to-day operation of our business. We have outlined below the type and scope of these exclusions and the material limitations on the use of these non-GAAP financial measures as a result of these exclusions. EBITDA, adjusted EBITDA, non-GAAP net income and non-GAAP net income per diluted share are not measurements of financial performance under GAAP and should not be considered as a measure of liquidity, as an alternative to net income or as an indicator of any other measure of performance derived in accordance with GAAP. Investors and potential investors in our securities should not rely on EBITDA, adjusted EBITDA, non-GAAP net income and non-GAAP net income per diluted share as a substitute for any GAAP financial measure, including net income. In addition, we urge investors and potential investors in our securities to carefully review the GAAP financial information included as part of our Annual Reports on Form 10-K and Quarterly Reports on Form 10-Q that are filed with the Securities and Exchange Commission, as well as our quarterly earnings releases, and compare the GAAP financial information with our EBITDA, adjusted EBITDA, non-GAAP net income and non-GAAP net income per diluted share.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0" w:right="239" w:bottom="1440" w:gutter="0" w:footer="0" w:header="0"/>
        </w:sectPr>
      </w:pPr>
    </w:p>
    <w:bookmarkStart w:id="38" w:name="page39"/>
    <w:bookmarkEnd w:id="38"/>
    <w:p>
      <w:pPr>
        <w:jc w:val="both"/>
        <w:ind w:firstLine="324"/>
        <w:spacing w:after="0" w:line="285" w:lineRule="auto"/>
        <w:rPr>
          <w:sz w:val="20"/>
          <w:szCs w:val="20"/>
          <w:color w:val="auto"/>
        </w:rPr>
      </w:pPr>
      <w:r>
        <w:rPr>
          <w:rFonts w:ascii="Arial" w:cs="Arial" w:eastAsia="Arial" w:hAnsi="Arial"/>
          <w:sz w:val="16"/>
          <w:szCs w:val="16"/>
          <w:color w:val="auto"/>
        </w:rPr>
        <w:t>EBITDA, adjusted EBITDA, non-GAAP net income and non-GAAP net income per diluted share may be used by management to internally measure our operating and management performance and may be used by investors as supplemental financial measures to evaluate the performance of our business. We believe that these non-GAAP measures, when viewed with our GAAP results and the accompanying reconciliation, provide additional information that is useful to understand the factors and trends affecting our business. We have spent more than 26 years building our database of commercial real estate information and expanding our markets and services partially through acquisitions of complementary businesses. Due to the expansion of our information, analytics and marketing services, which has included acquisitions, our net income has included significant charges for purchase amortization, depreciation and other amortization, acquisition- and integration-related costs and restructuring costs. Adjusted EBITDA, non-GAAP net income and non-GAAP net income per diluted share exclude these charges and provide meaningful information about the operating performance of our business, apart from charges for purchase amortization, depreciation and other amortization, acquisition- and integration-related costs, restructuring costs and settlement and impairment costs incurred outside our ordinary course of business. We believe the disclosure of non-GAAP measures can help investors meaningfully evaluate and compare our performance from quarter to quarter and from year to year. We also believe the non-GAAP measures we disclose are measures of our ongoing operating performance because the isolation of non-cash charges, such as amortization and depreciation, and other items, such as interest, income taxes, stock-based compensation expenses, acquisition- and integration-related costs, restructuring costs and settlement and impairment costs incurred outside our ordinary course of business, provides additional information about our cost structure, and, over time, helps track our operating progress. In addition, investors, securities analysts and others have regularly relied on EBITDA and may rely on adjusted EBITDA, non-GAAP net income or non-GAAP net income per diluted share to provide a financial measure by which to compare our operating performance against that of other companies in our industry.</w:t>
      </w:r>
    </w:p>
    <w:p>
      <w:pPr>
        <w:spacing w:after="0" w:line="17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Set forth below are descriptions of the financial items that have been excluded from our net income to calculate EBITDA and the material limitations associated with using this non-GAAP financial measure as compared to net income:</w:t>
      </w:r>
    </w:p>
    <w:p>
      <w:pPr>
        <w:spacing w:after="0" w:line="170" w:lineRule="exact"/>
        <w:rPr>
          <w:sz w:val="20"/>
          <w:szCs w:val="20"/>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Purchase amortization in cost of revenues may be useful for investors to consider because it represents the use of our acquired database technology, which is one of the sources of information for our database of commercial real estate information. We do not believe these charges necessarily reflect the current and ongoing cash charges related to our operating cost structure.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Purchase amortization in operating expenses may be useful for investors to consider because it represents the estimated attrition of our acquired customer base and the diminishing value of any acquired trade names. We do not believe these charges necessarily reflect the current and ongoing cash charges related to our operating cost structure.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Depreciation and other amortization may be useful for investors to consider because they generally represent the wear and tear on our property and equipment used in our operations. We do not believe these charges necessarily reflect the current and ongoing cash charges related to our operating cost structure.</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amount of interest income we generate may be useful for investors to consider and may result in current cash inflows. However, we do not consider the amount of interest income to be a representative component of the day-to-day operating performance of our business.</w:t>
      </w:r>
    </w:p>
    <w:p>
      <w:pPr>
        <w:spacing w:after="0" w:line="146" w:lineRule="exact"/>
        <w:rPr>
          <w:rFonts w:ascii="Arial" w:cs="Arial" w:eastAsia="Arial" w:hAnsi="Arial"/>
          <w:sz w:val="17"/>
          <w:szCs w:val="17"/>
          <w:color w:val="auto"/>
        </w:rPr>
      </w:pPr>
    </w:p>
    <w:p>
      <w:pPr>
        <w:ind w:left="660" w:right="2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amount of interest expense we incur may be useful for investors to consider and may result in current cash outflows. However, we do not consider the amount of interest expense to be a representative component of the day-to-day operating performance of our business.</w:t>
      </w:r>
    </w:p>
    <w:p>
      <w:pPr>
        <w:spacing w:after="0" w:line="146" w:lineRule="exact"/>
        <w:rPr>
          <w:rFonts w:ascii="Arial" w:cs="Arial" w:eastAsia="Arial" w:hAnsi="Arial"/>
          <w:sz w:val="17"/>
          <w:szCs w:val="17"/>
          <w:color w:val="auto"/>
        </w:rPr>
      </w:pPr>
    </w:p>
    <w:p>
      <w:pPr>
        <w:jc w:val="both"/>
        <w:ind w:left="660" w:hanging="328"/>
        <w:spacing w:after="0" w:line="31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Income tax expense may be useful for investors to consider because it generally represents the taxes which may be payable for the period and the change in deferred income taxes during the period and may reduce the amount of funds otherwise available for use in our business. However, we do not consider the amount of income tax expense to be a representative component of the day-to-day operating performance of our business.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9" w:name="page40"/>
    <w:bookmarkEnd w:id="39"/>
    <w:p>
      <w:pPr>
        <w:ind w:firstLine="324"/>
        <w:spacing w:after="0" w:line="277" w:lineRule="auto"/>
        <w:rPr>
          <w:sz w:val="20"/>
          <w:szCs w:val="20"/>
          <w:color w:val="auto"/>
        </w:rPr>
      </w:pPr>
      <w:r>
        <w:rPr>
          <w:rFonts w:ascii="Arial" w:cs="Arial" w:eastAsia="Arial" w:hAnsi="Arial"/>
          <w:sz w:val="18"/>
          <w:szCs w:val="18"/>
          <w:color w:val="auto"/>
        </w:rPr>
        <w:t>Set forth below are descriptions of the financial items that have been excluded from our net income to calculate adjusted EBITDA and the material limitations associated with using this non-GAAP financial measure as compared to net income:</w:t>
      </w:r>
    </w:p>
    <w:p>
      <w:pPr>
        <w:spacing w:after="0" w:line="170" w:lineRule="exact"/>
        <w:rPr>
          <w:sz w:val="20"/>
          <w:szCs w:val="20"/>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Purchase amortization in cost of revenues, purchase amortization in operating expenses, depreciation and other amortization, interest income, interest expense, and income tax expense as previously described above with respect to the calculation of EBITDA.</w:t>
      </w:r>
    </w:p>
    <w:p>
      <w:pPr>
        <w:spacing w:after="0" w:line="170"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Stock-based compensation expense may be useful for investors to consider because it represents a portion of the compensation of our employees and executives. Determining the fair value of the stock-based instruments involves a high degree of judgment and estimation and the expenses recorded may bear little resemblance to the actual value realized upon the future exercise or termination of the related stock-based awards. Therefore, we believe it is useful to exclude stock-based compensation in order to better understand the long-term performance of our core business.</w:t>
      </w:r>
    </w:p>
    <w:p>
      <w:pPr>
        <w:spacing w:after="0" w:line="154"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of acquisition- and integration-related costs incurred may be useful for investors to consider because they generally represent professional service fees and direct expenses related to the acquisition. Because we do not acquire businesses on a predictable cycle we do not consider the amount of acquisition- and integration-related costs to be a representative component of the day-to-day operating performance of our business.</w:t>
      </w:r>
    </w:p>
    <w:p>
      <w:pPr>
        <w:spacing w:after="0" w:line="18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of restructuring costs incurred may be useful for investors to consider because they generally represent costs incurred in connection with a change in the makeup of our properties or personnel. We do not consider the amount of restructuring related costs to be a representative component of the day-to-day operating performance of our business.</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of material settlement and impairment costs incurred outside of our ordinary course of business may be useful for investors to consider because they generally represent gains or losses from the settlement of litigation matters. We do not believe these charges necessarily reflect the current and ongoing cash charges related to our operating cost structure.</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financial items that have been excluded from our net income to calculate non-GAAP net income and non-GAAP net income per diluted share are purchase amortization and other related costs, stock-based compensation, acquisition- and integration-related costs, restructuring costs and settlement and impairment costs incurred outside our ordinary course of business. These items are discussed above with respect to the calculation of adjusted EBITDA together with the material limitations associated with using this non-GAAP financial measure as compared to net income. We subtract an assumed provision for income taxes to calculate non-GAAP net income. In 2011, we assumed a 40% tax rate, and in 2012 and 2013, we assumed a 38% tax rate in order to approximate our long-term effective corporate tax rate.</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Non-GAAP net income per diluted share is a non-GAAP financial measure that represents non-GAAP net income divided by the number of diluted shares outstanding for the period used in the calculation of GAAP net income per diluted share.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compensates for the above-described limitations of using non-GAAP measures by using a non-GAAP measure only to supplement our GAAP results and to provide additional information that is useful to understand the factors and trends affecting our business.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40" w:name="page41"/>
    <w:bookmarkEnd w:id="40"/>
    <w:p>
      <w:pPr>
        <w:jc w:val="both"/>
        <w:ind w:firstLine="324"/>
        <w:spacing w:after="0" w:line="277" w:lineRule="auto"/>
        <w:rPr>
          <w:sz w:val="20"/>
          <w:szCs w:val="20"/>
          <w:color w:val="auto"/>
        </w:rPr>
      </w:pPr>
      <w:r>
        <w:rPr>
          <w:rFonts w:ascii="Arial" w:cs="Arial" w:eastAsia="Arial" w:hAnsi="Arial"/>
          <w:sz w:val="18"/>
          <w:szCs w:val="18"/>
          <w:color w:val="auto"/>
        </w:rPr>
        <w:t>The following table shows our EBITDA reconciled to our net income and our net cash flows from operating, investing and financing activities for the indicated periods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29,734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Purchase amortization in cost of revenues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8,634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11,883</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amortization in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15,183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Depreciation and other amortization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9,262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10,511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12,992</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4,832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6,943</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17,803</w:t>
            </w: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EBITDA</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34,623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60,192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94,212</w:t>
            </w:r>
          </w:p>
        </w:tc>
      </w:tr>
      <w:tr>
        <w:trPr>
          <w:trHeight w:val="284"/>
        </w:trPr>
        <w:tc>
          <w:tcPr>
            <w:tcW w:w="7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cash flows provided by (used in)</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86,126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108,298</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Investing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58,366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(640,398)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(18,966)</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7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Financing activities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252,680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164,941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10,405</w:t>
            </w:r>
          </w:p>
        </w:tc>
      </w:tr>
      <w:tr>
        <w:trPr>
          <w:trHeight w:val="27"/>
        </w:trPr>
        <w:tc>
          <w:tcPr>
            <w:tcW w:w="7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our selected consolidated results of operations for the indicated periods (in thousands of dollars and as a percentage of total revenue):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ind w:left="120"/>
              <w:spacing w:after="0"/>
              <w:rPr>
                <w:sz w:val="20"/>
                <w:szCs w:val="20"/>
                <w:color w:val="auto"/>
              </w:rPr>
            </w:pPr>
            <w:r>
              <w:rPr>
                <w:rFonts w:ascii="Arial" w:cs="Arial" w:eastAsia="Arial" w:hAnsi="Arial"/>
                <w:sz w:val="18"/>
                <w:szCs w:val="18"/>
                <w:b w:val="1"/>
                <w:bCs w:val="1"/>
                <w:color w:val="auto"/>
              </w:rPr>
              <w:t>Year Ended December 31,</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3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2011</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2012</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2013</w:t>
            </w:r>
          </w:p>
        </w:tc>
        <w:tc>
          <w:tcPr>
            <w:tcW w:w="880" w:type="dxa"/>
            <w:vAlign w:val="bottom"/>
          </w:tcPr>
          <w:p>
            <w:pPr>
              <w:spacing w:after="0"/>
              <w:rPr>
                <w:sz w:val="20"/>
                <w:szCs w:val="20"/>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251,738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349,936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440,943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3300" w:type="dxa"/>
            <w:vAlign w:val="bottom"/>
          </w:tcPr>
          <w:p>
            <w:pPr>
              <w:ind w:left="40"/>
              <w:spacing w:after="0"/>
              <w:rPr>
                <w:sz w:val="20"/>
                <w:szCs w:val="20"/>
                <w:color w:val="auto"/>
              </w:rPr>
            </w:pPr>
            <w:r>
              <w:rPr>
                <w:rFonts w:ascii="Arial" w:cs="Arial" w:eastAsia="Arial" w:hAnsi="Arial"/>
                <w:sz w:val="18"/>
                <w:szCs w:val="18"/>
                <w:color w:val="auto"/>
              </w:rPr>
              <w:t>Cost of</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300" w:type="dxa"/>
            <w:vAlign w:val="bottom"/>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88,167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114,866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129,185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29.3</w:t>
            </w:r>
          </w:p>
        </w:tc>
      </w:tr>
      <w:tr>
        <w:trPr>
          <w:trHeight w:val="27"/>
        </w:trPr>
        <w:tc>
          <w:tcPr>
            <w:tcW w:w="3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163,571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235,070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311,758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70.7</w:t>
            </w: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3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3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marketing</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61,164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84,113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98,708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22.4</w:t>
            </w:r>
          </w:p>
        </w:tc>
      </w:tr>
      <w:tr>
        <w:trPr>
          <w:trHeight w:val="229"/>
        </w:trPr>
        <w:tc>
          <w:tcPr>
            <w:tcW w:w="3300" w:type="dxa"/>
            <w:vAlign w:val="bottom"/>
          </w:tcPr>
          <w:p>
            <w:pPr>
              <w:ind w:left="180"/>
              <w:spacing w:after="0"/>
              <w:rPr>
                <w:sz w:val="20"/>
                <w:szCs w:val="20"/>
                <w:color w:val="auto"/>
              </w:rPr>
            </w:pPr>
            <w:r>
              <w:rPr>
                <w:rFonts w:ascii="Arial" w:cs="Arial" w:eastAsia="Arial" w:hAnsi="Arial"/>
                <w:sz w:val="18"/>
                <w:szCs w:val="18"/>
                <w:color w:val="auto"/>
              </w:rPr>
              <w:t>Software</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300" w:type="dxa"/>
            <w:vAlign w:val="bottom"/>
          </w:tcPr>
          <w:p>
            <w:pPr>
              <w:ind w:left="180"/>
              <w:spacing w:after="0"/>
              <w:rPr>
                <w:sz w:val="20"/>
                <w:szCs w:val="20"/>
                <w:color w:val="auto"/>
              </w:rPr>
            </w:pPr>
            <w:r>
              <w:rPr>
                <w:rFonts w:ascii="Arial" w:cs="Arial" w:eastAsia="Arial" w:hAnsi="Arial"/>
                <w:sz w:val="18"/>
                <w:szCs w:val="18"/>
                <w:color w:val="auto"/>
              </w:rPr>
              <w:t>development</w:t>
            </w:r>
          </w:p>
        </w:tc>
        <w:tc>
          <w:tcPr>
            <w:tcW w:w="3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20,037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32,756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46,757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10.6</w:t>
            </w:r>
          </w:p>
        </w:tc>
      </w:tr>
      <w:tr>
        <w:trPr>
          <w:trHeight w:val="27"/>
        </w:trPr>
        <w:tc>
          <w:tcPr>
            <w:tcW w:w="3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3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58,362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77,154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96,956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22.0</w:t>
            </w:r>
          </w:p>
        </w:tc>
      </w:tr>
      <w:tr>
        <w:trPr>
          <w:trHeight w:val="229"/>
        </w:trPr>
        <w:tc>
          <w:tcPr>
            <w:tcW w:w="3300" w:type="dxa"/>
            <w:vAlign w:val="bottom"/>
          </w:tcPr>
          <w:p>
            <w:pPr>
              <w:ind w:left="180"/>
              <w:spacing w:after="0"/>
              <w:rPr>
                <w:sz w:val="20"/>
                <w:szCs w:val="20"/>
                <w:color w:val="auto"/>
              </w:rPr>
            </w:pPr>
            <w:r>
              <w:rPr>
                <w:rFonts w:ascii="Arial" w:cs="Arial" w:eastAsia="Arial" w:hAnsi="Arial"/>
                <w:sz w:val="18"/>
                <w:szCs w:val="18"/>
                <w:color w:val="auto"/>
              </w:rPr>
              <w:t>Purchase</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30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2,237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13,607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15,183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3.4</w:t>
            </w:r>
          </w:p>
        </w:tc>
      </w:tr>
      <w:tr>
        <w:trPr>
          <w:trHeight w:val="27"/>
        </w:trPr>
        <w:tc>
          <w:tcPr>
            <w:tcW w:w="3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9"/>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57"/>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141,800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56.4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207,630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257,604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58.4</w:t>
            </w:r>
          </w:p>
        </w:tc>
      </w:tr>
      <w:tr>
        <w:trPr>
          <w:trHeight w:val="209"/>
        </w:trPr>
        <w:tc>
          <w:tcPr>
            <w:tcW w:w="3300" w:type="dxa"/>
            <w:vAlign w:val="bottom"/>
          </w:tcPr>
          <w:p>
            <w:pPr>
              <w:ind w:left="40"/>
              <w:spacing w:after="0"/>
              <w:rPr>
                <w:sz w:val="20"/>
                <w:szCs w:val="20"/>
                <w:color w:val="auto"/>
              </w:rPr>
            </w:pPr>
            <w:r>
              <w:rPr>
                <w:rFonts w:ascii="Arial" w:cs="Arial" w:eastAsia="Arial" w:hAnsi="Arial"/>
                <w:sz w:val="18"/>
                <w:szCs w:val="18"/>
                <w:color w:val="auto"/>
              </w:rPr>
              <w:t>Income from</w:t>
            </w: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230"/>
        </w:trPr>
        <w:tc>
          <w:tcPr>
            <w:tcW w:w="330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3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21,771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27,440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54,154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12.3</w:t>
            </w:r>
          </w:p>
        </w:tc>
      </w:tr>
      <w:tr>
        <w:trPr>
          <w:trHeight w:val="27"/>
        </w:trPr>
        <w:tc>
          <w:tcPr>
            <w:tcW w:w="3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and other</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Interest and other expense</w:t>
            </w:r>
          </w:p>
        </w:tc>
        <w:tc>
          <w:tcPr>
            <w:tcW w:w="320" w:type="dxa"/>
            <w:vAlign w:val="bottom"/>
          </w:tcPr>
          <w:p>
            <w:pPr>
              <w:spacing w:after="0"/>
              <w:rPr>
                <w:sz w:val="21"/>
                <w:szCs w:val="21"/>
                <w:color w:val="auto"/>
              </w:rPr>
            </w:pPr>
          </w:p>
        </w:tc>
        <w:tc>
          <w:tcPr>
            <w:tcW w:w="14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(4,832)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(6,943)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(1.6)</w:t>
            </w:r>
          </w:p>
        </w:tc>
      </w:tr>
      <w:tr>
        <w:trPr>
          <w:trHeight w:val="27"/>
        </w:trPr>
        <w:tc>
          <w:tcPr>
            <w:tcW w:w="3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9"/>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7"/>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22,569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23,134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47,537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10.8</w:t>
            </w:r>
          </w:p>
        </w:tc>
      </w:tr>
      <w:tr>
        <w:trPr>
          <w:trHeight w:val="229"/>
        </w:trPr>
        <w:tc>
          <w:tcPr>
            <w:tcW w:w="33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300" w:type="dxa"/>
            <w:vAlign w:val="bottom"/>
          </w:tcPr>
          <w:p>
            <w:pPr>
              <w:ind w:left="40"/>
              <w:spacing w:after="0"/>
              <w:rPr>
                <w:sz w:val="20"/>
                <w:szCs w:val="20"/>
                <w:color w:val="auto"/>
              </w:rPr>
            </w:pPr>
            <w:r>
              <w:rPr>
                <w:rFonts w:ascii="Arial" w:cs="Arial" w:eastAsia="Arial" w:hAnsi="Arial"/>
                <w:sz w:val="18"/>
                <w:szCs w:val="18"/>
                <w:color w:val="auto"/>
              </w:rPr>
              <w:t>net</w:t>
            </w:r>
          </w:p>
        </w:tc>
        <w:tc>
          <w:tcPr>
            <w:tcW w:w="3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7,913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13,219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17,803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4.1</w:t>
            </w:r>
          </w:p>
        </w:tc>
      </w:tr>
      <w:tr>
        <w:trPr>
          <w:trHeight w:val="27"/>
        </w:trPr>
        <w:tc>
          <w:tcPr>
            <w:tcW w:w="3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14,656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9,915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29,734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0"/>
        </w:trPr>
        <w:tc>
          <w:tcPr>
            <w:tcW w:w="3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 Ended December 31, 2013 and Year Ended December 31, 2012</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Revenues increased to $440.9 million in 2013, from $349.9 million in 2012. The $91.0 million increase was primarily attributable to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of approximately $52.8 million from our April 30, 2012 acquisition of LoopNet as well as the further penetration of our subscription-based information services and successful cross-selling of our services to our customers in existing markets, combined with continued high renewal rates.</w:t>
      </w:r>
    </w:p>
    <w:p>
      <w:pPr>
        <w:sectPr>
          <w:pgSz w:w="11900" w:h="16838" w:orient="portrait"/>
          <w:cols w:equalWidth="0" w:num="1">
            <w:col w:w="11420"/>
          </w:cols>
          <w:pgMar w:left="240" w:top="584" w:right="239" w:bottom="528"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584" w:right="239" w:bottom="528" w:gutter="0" w:footer="0" w:header="0"/>
          <w:type w:val="continuous"/>
        </w:sectPr>
      </w:pPr>
    </w:p>
    <w:bookmarkStart w:id="41" w:name="page42"/>
    <w:bookmarkEnd w:id="41"/>
    <w:p>
      <w:pPr>
        <w:jc w:val="both"/>
        <w:ind w:firstLine="324"/>
        <w:spacing w:after="0" w:line="259" w:lineRule="auto"/>
        <w:rPr>
          <w:sz w:val="20"/>
          <w:szCs w:val="20"/>
          <w:color w:val="auto"/>
        </w:rPr>
      </w:pPr>
      <w:r>
        <w:rPr>
          <w:rFonts w:ascii="Arial" w:cs="Arial" w:eastAsia="Arial" w:hAnsi="Arial"/>
          <w:sz w:val="18"/>
          <w:szCs w:val="18"/>
          <w:i w:val="1"/>
          <w:iCs w:val="1"/>
          <w:color w:val="auto"/>
        </w:rPr>
        <w:t>Gross Margin</w:t>
      </w:r>
      <w:r>
        <w:rPr>
          <w:rFonts w:ascii="Arial" w:cs="Arial" w:eastAsia="Arial" w:hAnsi="Arial"/>
          <w:sz w:val="18"/>
          <w:szCs w:val="18"/>
          <w:color w:val="auto"/>
        </w:rPr>
        <w:t>. Gross margin increased to $311.8 million in 2013, from $235.1 million in 2012. The gross margin percentage increased to 70.7% in 2013,</w:t>
      </w:r>
      <w:r>
        <w:rPr>
          <w:rFonts w:ascii="Arial" w:cs="Arial" w:eastAsia="Arial" w:hAnsi="Arial"/>
          <w:sz w:val="18"/>
          <w:szCs w:val="18"/>
          <w:i w:val="1"/>
          <w:iCs w:val="1"/>
          <w:color w:val="auto"/>
        </w:rPr>
        <w:t xml:space="preserve"> </w:t>
      </w:r>
      <w:r>
        <w:rPr>
          <w:rFonts w:ascii="Arial" w:cs="Arial" w:eastAsia="Arial" w:hAnsi="Arial"/>
          <w:sz w:val="18"/>
          <w:szCs w:val="18"/>
          <w:color w:val="auto"/>
        </w:rPr>
        <w:t>from 67.2% in 2012. The increase in the gross margin amount and percentage was principally due to an increase in revenue partially offset by an increase in cost of revenues of $14.3 million primarily due to an increase in research personnel costs of approximately $6.4 million and an increase of approximately $3.5 million in purchase amortization from our April 30, 2012 acquisition of LoopNet.</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Selling and Marketing Expenses</w:t>
      </w:r>
      <w:r>
        <w:rPr>
          <w:rFonts w:ascii="Arial" w:cs="Arial" w:eastAsia="Arial" w:hAnsi="Arial"/>
          <w:sz w:val="18"/>
          <w:szCs w:val="18"/>
          <w:color w:val="auto"/>
        </w:rPr>
        <w:t>. Selling and marketing expenses increased to $98.7 million in 2013, from $84.1 million in 2012, and decreased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revenues to 22.4% in 2013, from 24.0% in 2012. The increase in the amount of selling and marketing expenses was primarily due to the additional selling and marketing expenses from our April 30, 2012 acquisition of LoopNet.</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Software Development Expenses</w:t>
      </w:r>
      <w:r>
        <w:rPr>
          <w:rFonts w:ascii="Arial" w:cs="Arial" w:eastAsia="Arial" w:hAnsi="Arial"/>
          <w:sz w:val="18"/>
          <w:szCs w:val="18"/>
          <w:color w:val="auto"/>
        </w:rPr>
        <w:t>. Software development expenses increased to $46.8 million in 2013, from $32.8 million in 2012, and increased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revenues to 10.6% in 2013, from 9.4% in 2012. The increase in the amount and percentage of software development expense was primarily due to increased personnel costs to support enhancements and upgrades to our services.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General and administrative expenses increased to $97.0 million in 2013, from $77.2 million in 2012, and remained</w:t>
      </w:r>
      <w:r>
        <w:rPr>
          <w:rFonts w:ascii="Arial" w:cs="Arial" w:eastAsia="Arial" w:hAnsi="Arial"/>
          <w:sz w:val="18"/>
          <w:szCs w:val="18"/>
          <w:i w:val="1"/>
          <w:iCs w:val="1"/>
          <w:color w:val="auto"/>
        </w:rPr>
        <w:t xml:space="preserve"> </w:t>
      </w:r>
      <w:r>
        <w:rPr>
          <w:rFonts w:ascii="Arial" w:cs="Arial" w:eastAsia="Arial" w:hAnsi="Arial"/>
          <w:sz w:val="18"/>
          <w:szCs w:val="18"/>
          <w:color w:val="auto"/>
        </w:rPr>
        <w:t>relatively constant as a percentage of revenues at approximately 22.0% in 2013 and 2012. The increase in the amount of general and administrative expenses was principally due to an increase in stock-based compensation expense.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Purchase Amortization. </w:t>
      </w:r>
      <w:r>
        <w:rPr>
          <w:rFonts w:ascii="Arial" w:cs="Arial" w:eastAsia="Arial" w:hAnsi="Arial"/>
          <w:sz w:val="18"/>
          <w:szCs w:val="18"/>
          <w:color w:val="auto"/>
        </w:rPr>
        <w:t>Purchase amortization increased to approximately $15.2 million in 2013, from $13.6 million in 2012, and decreased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revenue to 3.4% in 2013, compared to 3.9% in 2012. The increase in the amount of purchase amortization expense was due to additional purchase amortization expenses from our April 30, 2012 acquisition of LoopNet.</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Interest and Other Income. </w:t>
      </w:r>
      <w:r>
        <w:rPr>
          <w:rFonts w:ascii="Arial" w:cs="Arial" w:eastAsia="Arial" w:hAnsi="Arial"/>
          <w:sz w:val="18"/>
          <w:szCs w:val="18"/>
          <w:color w:val="auto"/>
        </w:rPr>
        <w:t>Interest and other income decreased to approximately $326,000 in 2013 compared to approximately $526,000 in 2012.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was primarily due to our lower cash and cash equivalent balance in 2013 resulting from the net cash paid for our April 30, 2012 acquisition of LoopNet.</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Interest and Other Expense. </w:t>
      </w:r>
      <w:r>
        <w:rPr>
          <w:rFonts w:ascii="Arial" w:cs="Arial" w:eastAsia="Arial" w:hAnsi="Arial"/>
          <w:sz w:val="18"/>
          <w:szCs w:val="18"/>
          <w:color w:val="auto"/>
        </w:rPr>
        <w:t>Interest and other expense increased to $6.9 million in 2013 compared to $4.8 million in 2012. The increase was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interest expense incurred in 2013 compared to 2012, resulting from the $175.0 million borrowed under the term loan facility on April 30, 2012 and used to fund a portion of the merger consideration and transaction costs for the LoopNet acquisition.</w:t>
      </w:r>
    </w:p>
    <w:p>
      <w:pPr>
        <w:spacing w:after="0" w:line="18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Income Tax Expense, Net. </w:t>
      </w:r>
      <w:r>
        <w:rPr>
          <w:rFonts w:ascii="Arial" w:cs="Arial" w:eastAsia="Arial" w:hAnsi="Arial"/>
          <w:sz w:val="16"/>
          <w:szCs w:val="16"/>
          <w:color w:val="auto"/>
        </w:rPr>
        <w:t>Income tax expense, net increased to $17.8 million in 2013, from $13.2 million in 2012. This increase was primarily due to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income before income taxes in 2013 as a result of our increased profitability, partially offset by a lower effective tax rate in 2013. The higher effective tax rate in 2012 was primarily due to costs related to the LoopNet acquisition that reduced income from operations but were not deductible for tax purposes.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Business Segment Results for Year Ended December 31, 2013 and Year Ended December 31, 2012</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manage our business geographically in two operating segments, with our primary areas of measurement and decision-making being the U.S. and International, which includes the U.K. and France. Management relies on an internal management reporting process that provides revenue and operating segment EBITDA, which is our net income before interest, income taxes, depreciation and amortization. Management believes that operating segment EBITDA is an appropriate measure for evaluating the operational performance of our operating segments. EBITDA is used by management to internally measure our operating and management performance and to evaluate the performance of our business. However, this measure should be considered in addition to, not as a substitute for or superior to, income from operations or other measures of financial performance prepared in accordance with GAAP.</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2" w:name="page43"/>
    <w:bookmarkEnd w:id="42"/>
    <w:p>
      <w:pPr>
        <w:jc w:val="both"/>
        <w:ind w:firstLine="324"/>
        <w:spacing w:after="0" w:line="269" w:lineRule="auto"/>
        <w:rPr>
          <w:sz w:val="20"/>
          <w:szCs w:val="20"/>
          <w:color w:val="auto"/>
        </w:rPr>
      </w:pPr>
      <w:r>
        <w:rPr>
          <w:rFonts w:ascii="Arial" w:cs="Arial" w:eastAsia="Arial" w:hAnsi="Arial"/>
          <w:sz w:val="17"/>
          <w:szCs w:val="17"/>
          <w:i w:val="1"/>
          <w:iCs w:val="1"/>
          <w:color w:val="auto"/>
        </w:rPr>
        <w:t>Segment Revenues</w:t>
      </w:r>
      <w:r>
        <w:rPr>
          <w:rFonts w:ascii="Arial" w:cs="Arial" w:eastAsia="Arial" w:hAnsi="Arial"/>
          <w:sz w:val="17"/>
          <w:szCs w:val="17"/>
          <w:color w:val="auto"/>
        </w:rPr>
        <w:t>. CoStar Suite is sold as a platform of service offerings consisting of CoStar Property Professional, CoStar COMPS Professional and</w:t>
      </w:r>
      <w:r>
        <w:rPr>
          <w:rFonts w:ascii="Arial" w:cs="Arial" w:eastAsia="Arial" w:hAnsi="Arial"/>
          <w:sz w:val="17"/>
          <w:szCs w:val="17"/>
          <w:i w:val="1"/>
          <w:iCs w:val="1"/>
          <w:color w:val="auto"/>
        </w:rPr>
        <w:t xml:space="preserve"> </w:t>
      </w:r>
      <w:r>
        <w:rPr>
          <w:rFonts w:ascii="Arial" w:cs="Arial" w:eastAsia="Arial" w:hAnsi="Arial"/>
          <w:sz w:val="17"/>
          <w:szCs w:val="17"/>
          <w:color w:val="auto"/>
        </w:rPr>
        <w:t>CoStar Tenant and through our mobile application, CoStarGo, and is our primary service offering in our U.S. operating segment. U.S. revenues increased to $420.8 million from $330.8 million for the years ended December 31, 2013 and 2012 respectively. This increase in U.S. revenue was primarily due to increased revenue of approximately $52.8 million from our April 30, 2012 acquisition of LoopNet as well as further penetration of our subscription-based information services and successful cross-selling of our services to our customers in existing markets, combined with continued high renewal rates. FOCUS is our primary service offering in our International operating segment. Additionally, we introduced CoStar Suite in the U.K. in the fourth quarter of 2012 and no longer offered FOCUS to new clients beginning in 2013. International revenues increased to $20.1 million from $19.1 million for the years ended December 31, 2013 and 2012, respectively. This increase was primarily due to further penetration of our subscription-based information services resulting from sales of CoStar Suite. Intersegment revenue decreased to $339,000 for the year ended December 31, 2013, compared to $1.5 million for the year ended December 31, 2012. Intersegment revenue is attributable to services performed for our wholly owned subsidiary, PPR, by Property and Portfolio Research Ltd., a wholly owned subsidiary of PPR. Intersegment revenue is recorded at an amount we believe approximates fair value. Intersegment revenue is eliminated from total revenues.</w:t>
      </w:r>
    </w:p>
    <w:p>
      <w:pPr>
        <w:spacing w:after="0" w:line="18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Segment EBITDA. </w:t>
      </w:r>
      <w:r>
        <w:rPr>
          <w:rFonts w:ascii="Arial" w:cs="Arial" w:eastAsia="Arial" w:hAnsi="Arial"/>
          <w:sz w:val="17"/>
          <w:szCs w:val="17"/>
          <w:color w:val="auto"/>
        </w:rPr>
        <w:t>U.S. EBITDA increased to $97.3 million from $70.2 million for the years ended December 31, 2013 and 2012, respectively. The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U.S. EBITDA was due primarily to an increase in revenues in 2013 compared to 2012, partially offset by an increase in personnel costs, including the stock-based compensation expense we recorded in 2013. International EBITDA increased to a lower loss of $3.1 million for the year ended December 31, 2013 from a $10.0 million loss for the year ended December 31, 2012. This lower loss was primarily due to a decrease in personnel costs. The International operating segment continues to experience improved financial performance and most recently, during the three months ended December 31, 2013, International EBITDA increased to a positive amount as a result of increased revenue and decreased operating expenses. U.S. EBITDA includes an allocation of approximately $800,000 and $0 for the years ended 2013 and 2012, respectively. This allocation represents costs incurred for International employees involved in development activities of the Company's U.S. operating segment. International EBITDA includes a corporate allocation of approximately $400,000 and $5.3 million for the years ended December 31, 2013 and 2012, respectively. This allocation represents costs incurred for U.S. employees involved in management and expansion activities of our International operating segment. The corporate allocation for the year ended December 31, 2012 consists primarily of development costs incurred for services of U.S. employees to upgrade the international platform of services and expand the coverage of service offerings within the International reporting unit.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 Ended December 31, 2012 and Year Ended December 31, 2011</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Revenues</w:t>
      </w:r>
      <w:r>
        <w:rPr>
          <w:rFonts w:ascii="Arial" w:cs="Arial" w:eastAsia="Arial" w:hAnsi="Arial"/>
          <w:sz w:val="17"/>
          <w:szCs w:val="17"/>
          <w:color w:val="auto"/>
        </w:rPr>
        <w:t>. Revenues increased to $349.9 million in 2012, from $251.7 million in 2011. The $98.2 increase is primarily attributable to additional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of approximately $60.0 million from our April 30, 2012 acquisition of LoopNet as well as the further penetration of our subscription-based information services and successful cross-selling of our services to our customers in existing markets, combined with continued high renewal rates.</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Gross Margin</w:t>
      </w:r>
      <w:r>
        <w:rPr>
          <w:rFonts w:ascii="Arial" w:cs="Arial" w:eastAsia="Arial" w:hAnsi="Arial"/>
          <w:sz w:val="17"/>
          <w:szCs w:val="17"/>
          <w:color w:val="auto"/>
        </w:rPr>
        <w:t>. Gross margin increased to $235.1 million in 2012, from $163.6 million in 2011. The gross margin percentage increased to 67.2% in 2012,</w:t>
      </w:r>
      <w:r>
        <w:rPr>
          <w:rFonts w:ascii="Arial" w:cs="Arial" w:eastAsia="Arial" w:hAnsi="Arial"/>
          <w:sz w:val="17"/>
          <w:szCs w:val="17"/>
          <w:i w:val="1"/>
          <w:iCs w:val="1"/>
          <w:color w:val="auto"/>
        </w:rPr>
        <w:t xml:space="preserve"> </w:t>
      </w:r>
      <w:r>
        <w:rPr>
          <w:rFonts w:ascii="Arial" w:cs="Arial" w:eastAsia="Arial" w:hAnsi="Arial"/>
          <w:sz w:val="17"/>
          <w:szCs w:val="17"/>
          <w:color w:val="auto"/>
        </w:rPr>
        <w:t>from 65.0% in 2011. The increase in the gross margin amount and percentage was principally due to an increase in revenue partially offset by an increase in cost of revenues of $26.7 million primarily due to the additional cost of revenues from our 2011 and 2012 acquisitions.</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Selling and Marketing Expenses</w:t>
      </w:r>
      <w:r>
        <w:rPr>
          <w:rFonts w:ascii="Arial" w:cs="Arial" w:eastAsia="Arial" w:hAnsi="Arial"/>
          <w:sz w:val="18"/>
          <w:szCs w:val="18"/>
          <w:color w:val="auto"/>
        </w:rPr>
        <w:t>. Selling and marketing expenses increased to $84.1 million in 2012, from $61.2 million in 2011, and decreased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revenues to 24.0% in 2012, from 24.3% in 2011. The increase in the amount of selling and marketing expenses was primarily due to the additional selling and marketing expenses from our 2011 and 2012 acquisitions.</w:t>
      </w:r>
    </w:p>
    <w:p>
      <w:pPr>
        <w:spacing w:after="0" w:line="18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Software Development Expenses</w:t>
      </w:r>
      <w:r>
        <w:rPr>
          <w:rFonts w:ascii="Arial" w:cs="Arial" w:eastAsia="Arial" w:hAnsi="Arial"/>
          <w:sz w:val="18"/>
          <w:szCs w:val="18"/>
          <w:color w:val="auto"/>
        </w:rPr>
        <w:t>. Software development expenses increased to $32.8 million in 2012, from $20.0 million in 2011, and increased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revenues to 9.4% in 2012, from 8.0% in 2011. The increase in the amount and percentage of software development expense was primarily due to the additional software development expenses from our 2011 and 2012 acquisitions.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General and administrative expenses increased to $77.2 million in 2012, from $58.4 million in 2011, and</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as a percentage of revenues to 22.0% in 2012, from 23.2% in 2011. The increase in the amount of general and administrative expenses was principally due to the additional general and administrative expenses from our 2011 and 2012 acquisitions.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Purchase Amortization. </w:t>
      </w:r>
      <w:r>
        <w:rPr>
          <w:rFonts w:ascii="Arial" w:cs="Arial" w:eastAsia="Arial" w:hAnsi="Arial"/>
          <w:sz w:val="18"/>
          <w:szCs w:val="18"/>
          <w:color w:val="auto"/>
        </w:rPr>
        <w:t>Purchase amortization increased to $13.6 million in 2012, from $2.2 million in 2011, and increased as a percentage of revenue to</w:t>
      </w:r>
      <w:r>
        <w:rPr>
          <w:rFonts w:ascii="Arial" w:cs="Arial" w:eastAsia="Arial" w:hAnsi="Arial"/>
          <w:sz w:val="18"/>
          <w:szCs w:val="18"/>
          <w:i w:val="1"/>
          <w:iCs w:val="1"/>
          <w:color w:val="auto"/>
        </w:rPr>
        <w:t xml:space="preserve"> </w:t>
      </w:r>
      <w:r>
        <w:rPr>
          <w:rFonts w:ascii="Arial" w:cs="Arial" w:eastAsia="Arial" w:hAnsi="Arial"/>
          <w:sz w:val="18"/>
          <w:szCs w:val="18"/>
          <w:color w:val="auto"/>
        </w:rPr>
        <w:t>3.9% in 2012, compared to 0.9% in 2011. The increase in the amount and percentage of purchase amortization expense was due to additional purchase amortization expenses from our April 30, 2012 acquisition of LoopNet.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3" w:name="page44"/>
    <w:bookmarkEnd w:id="43"/>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Interest and Other Income. </w:t>
      </w:r>
      <w:r>
        <w:rPr>
          <w:rFonts w:ascii="Arial" w:cs="Arial" w:eastAsia="Arial" w:hAnsi="Arial"/>
          <w:sz w:val="18"/>
          <w:szCs w:val="18"/>
          <w:color w:val="auto"/>
        </w:rPr>
        <w:t>Interest and other income decreased to approximately $526,000 in 2012 compared to approximately $798,000 in 2011.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was primarily due to our lower cash and cash equivalent balance in 2012 resulting from the net cash paid for our April 30, 2012 acquisition of LoopNet.</w:t>
      </w:r>
    </w:p>
    <w:p>
      <w:pPr>
        <w:spacing w:after="0" w:line="18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Interest and Other Expense. </w:t>
      </w:r>
      <w:r>
        <w:rPr>
          <w:rFonts w:ascii="Arial" w:cs="Arial" w:eastAsia="Arial" w:hAnsi="Arial"/>
          <w:sz w:val="16"/>
          <w:szCs w:val="16"/>
          <w:color w:val="auto"/>
        </w:rPr>
        <w:t>Interest and other expense increased to $4.8 million in 2012 compared to $0 in 2011. The increase was due to the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incurred in 2012 for the term loan facility used to fund a portion of the merger consideration and transaction costs for the LoopNet acquisition.</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Income Tax Expense, Net. </w:t>
      </w:r>
      <w:r>
        <w:rPr>
          <w:rFonts w:ascii="Arial" w:cs="Arial" w:eastAsia="Arial" w:hAnsi="Arial"/>
          <w:sz w:val="18"/>
          <w:szCs w:val="18"/>
          <w:color w:val="auto"/>
        </w:rPr>
        <w:t>Income tax expense, net increased to $13.2 million in 2012, from $7.9 million in 2011. This increase was primarily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impact of costs related to the LoopNet acquisition that are not deductible for tax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Business Segment Results for Year Ended December 31, 2012 and Year Ended December 31, 2011</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Segment Revenues</w:t>
      </w:r>
      <w:r>
        <w:rPr>
          <w:rFonts w:ascii="Arial" w:cs="Arial" w:eastAsia="Arial" w:hAnsi="Arial"/>
          <w:sz w:val="16"/>
          <w:szCs w:val="16"/>
          <w:color w:val="auto"/>
        </w:rPr>
        <w:t>. U.S. revenues increased to $330.8 million from $233.4 million for the years ended December 31, 2012 and 2011 respectively. This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U.S. revenue was primarily due to additional revenue of approximately $60.0 million from our April 30, 2012 acquisition of LoopNet, as well as further penetration of our subscription-based information services, and successful cross-selling of our services to our customers in existing markets, combined with continued high renewal rates. International revenues increased to $19.1 million from $18.4 million for the years ended December 31, 2012 and 2011, respectively. This increase was primarily due to further penetration of our subscription-based information services. Intersegment revenue increased to $1.5 million for the year ended December 31, 2012, compared to $1.1 million for the year ended December 31, 2011. Intersegment revenue is attributable to services performed for the Company’s wholly owned subsidiary, PPR, by Property and Portfolio Research Ltd., a wholly owned subsidiary of PPR. Intersegment revenue is recorded at an amount we believe approximates fair value. Intersegment revenue is eliminated from total revenues.</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Segment EBITDA. </w:t>
      </w:r>
      <w:r>
        <w:rPr>
          <w:rFonts w:ascii="Arial" w:cs="Arial" w:eastAsia="Arial" w:hAnsi="Arial"/>
          <w:sz w:val="18"/>
          <w:szCs w:val="18"/>
          <w:color w:val="auto"/>
        </w:rPr>
        <w:t>U.S. EBITDA increased to $70.2 million from $38.1 million for the years ended December 31, 2012 and 2011, respectively.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U.S. EBITDA was due primarily to an increase in revenues in 2012 compared to 2011. International EBITDA decreased to a higher loss of $10.0 million for the year ended December 31, 2012 from a $3.5 million loss for the year ended December 31, 2011. This higher loss was primarily due to increased corporate allocation in 2012 compared to 2011. International EBITDA includes a corporate allocation of approximately $5.3 million and $800,000 for the years ended December 31, 2012 and 2011, respectively. The corporate allocation represents costs incurred for U.S. employees involved in international management and expansion activities. The corporate allocation for the year ended December 31, 2012 consists primarily of development costs incurred for services of U.S. employees to upgrade the international platform of services and expand the coverage of service offerings within the International reporting unit.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Consolidated Quarterly Results of Operations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tables summarize our consolidated results of operations on a quarterly basis for the indicated periods (in thousands, except per share amounts, and as a percentage of total revenues). Certain previously reported amounts in the Condensed Consolidated Statements of Operations have been reclassified to conform to our current presentation:</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2012</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2013</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Mar. 31</w:t>
            </w:r>
          </w:p>
        </w:tc>
        <w:tc>
          <w:tcPr>
            <w:tcW w:w="1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Jun. 30</w:t>
            </w:r>
          </w:p>
        </w:tc>
        <w:tc>
          <w:tcPr>
            <w:tcW w:w="14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Sep. 30</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 31</w:t>
            </w:r>
          </w:p>
        </w:tc>
        <w:tc>
          <w:tcPr>
            <w:tcW w:w="14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 31</w:t>
            </w: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Jun. 30</w:t>
            </w: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Sep. 30</w:t>
            </w:r>
          </w:p>
        </w:tc>
        <w:tc>
          <w:tcPr>
            <w:tcW w:w="1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Dec. 31</w:t>
            </w: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68,629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85,223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100,083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104,033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108,999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112,301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115,610</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24,334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28,172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30,882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31,478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33,606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32,101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31,724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31,754</w:t>
            </w: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44,295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57,051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76,898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83,856</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35,693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57,064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56,173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58,700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73,025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61,615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60,807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62,157</w:t>
            </w: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21,699</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w:t>
            </w: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8,852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7,183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8,181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13,608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18,086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20,092</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net</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7,293</w:t>
            </w:r>
          </w:p>
        </w:tc>
      </w:tr>
      <w:tr>
        <w:trPr>
          <w:trHeight w:val="29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5,132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6,779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4,714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8,293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11,052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12,799</w:t>
            </w:r>
          </w:p>
        </w:tc>
      </w:tr>
      <w:tr>
        <w:trPr>
          <w:trHeight w:val="251"/>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 — 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0.46</w:t>
            </w: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51"/>
        </w:trPr>
        <w:tc>
          <w:tcPr>
            <w:tcW w:w="3340" w:type="dxa"/>
            <w:vAlign w:val="bottom"/>
          </w:tcPr>
          <w:p>
            <w:pPr>
              <w:ind w:left="40"/>
              <w:spacing w:after="0"/>
              <w:rPr>
                <w:sz w:val="20"/>
                <w:szCs w:val="20"/>
                <w:color w:val="auto"/>
              </w:rPr>
            </w:pPr>
            <w:r>
              <w:rPr>
                <w:rFonts w:ascii="Arial" w:cs="Arial" w:eastAsia="Arial" w:hAnsi="Arial"/>
                <w:sz w:val="18"/>
                <w:szCs w:val="18"/>
                <w:color w:val="auto"/>
              </w:rPr>
              <w:t>Net income (loss) per share — 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0.45</w:t>
            </w: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2012</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2013</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290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 31</w:t>
            </w:r>
          </w:p>
        </w:tc>
        <w:tc>
          <w:tcPr>
            <w:tcW w:w="128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Jun. 30</w:t>
            </w: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Sep. 30</w:t>
            </w:r>
          </w:p>
        </w:tc>
        <w:tc>
          <w:tcPr>
            <w:tcW w:w="1080" w:type="dxa"/>
            <w:vAlign w:val="bottom"/>
            <w:gridSpan w:val="2"/>
          </w:tcPr>
          <w:p>
            <w:pPr>
              <w:ind w:left="200"/>
              <w:spacing w:after="0"/>
              <w:rPr>
                <w:sz w:val="20"/>
                <w:szCs w:val="20"/>
                <w:color w:val="auto"/>
              </w:rPr>
            </w:pPr>
            <w:r>
              <w:rPr>
                <w:rFonts w:ascii="Arial" w:cs="Arial" w:eastAsia="Arial" w:hAnsi="Arial"/>
                <w:sz w:val="18"/>
                <w:szCs w:val="18"/>
                <w:b w:val="1"/>
                <w:bCs w:val="1"/>
                <w:color w:val="auto"/>
              </w:rPr>
              <w:t>Dec. 31</w:t>
            </w: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 31</w:t>
            </w:r>
          </w:p>
        </w:tc>
        <w:tc>
          <w:tcPr>
            <w:tcW w:w="12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Jun. 30</w:t>
            </w: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Sep. 30</w:t>
            </w: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Dec. 31</w:t>
            </w:r>
          </w:p>
        </w:tc>
      </w:tr>
      <w:tr>
        <w:trPr>
          <w:trHeight w:val="27"/>
        </w:trPr>
        <w:tc>
          <w:tcPr>
            <w:tcW w:w="29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27.5</w:t>
            </w:r>
          </w:p>
        </w:tc>
      </w:tr>
      <w:tr>
        <w:trPr>
          <w:trHeight w:val="27"/>
        </w:trPr>
        <w:tc>
          <w:tcPr>
            <w:tcW w:w="29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67.8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68.5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72.5</w:t>
            </w: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53.7</w:t>
            </w:r>
          </w:p>
        </w:tc>
      </w:tr>
      <w:tr>
        <w:trPr>
          <w:trHeight w:val="27"/>
        </w:trPr>
        <w:tc>
          <w:tcPr>
            <w:tcW w:w="29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18.8</w:t>
            </w: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0.1</w:t>
            </w:r>
          </w:p>
        </w:tc>
      </w:tr>
      <w:tr>
        <w:trPr>
          <w:trHeight w:val="27"/>
        </w:trPr>
        <w:tc>
          <w:tcPr>
            <w:tcW w:w="2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r>
      <w:tr>
        <w:trPr>
          <w:trHeight w:val="237"/>
        </w:trPr>
        <w:tc>
          <w:tcPr>
            <w:tcW w:w="29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9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9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17.4</w:t>
            </w:r>
          </w:p>
        </w:tc>
      </w:tr>
      <w:tr>
        <w:trPr>
          <w:trHeight w:val="27"/>
        </w:trPr>
        <w:tc>
          <w:tcPr>
            <w:tcW w:w="2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net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6.3</w:t>
            </w:r>
          </w:p>
        </w:tc>
      </w:tr>
      <w:tr>
        <w:trPr>
          <w:trHeight w:val="257"/>
        </w:trPr>
        <w:tc>
          <w:tcPr>
            <w:tcW w:w="29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7.1 %</w:t>
            </w: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9.8 %</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11.1 %</w:t>
            </w:r>
          </w:p>
        </w:tc>
      </w:tr>
      <w:tr>
        <w:trPr>
          <w:trHeight w:val="20"/>
        </w:trPr>
        <w:tc>
          <w:tcPr>
            <w:tcW w:w="2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LoopNet</w:t>
      </w:r>
      <w:r>
        <w:rPr>
          <w:rFonts w:ascii="Arial" w:cs="Arial" w:eastAsia="Arial" w:hAnsi="Arial"/>
          <w:sz w:val="18"/>
          <w:szCs w:val="18"/>
          <w:color w:val="auto"/>
        </w:rPr>
        <w:t>. On April 30, 2012, we acquired 100% of the outstanding stock of LoopNet pursuant to an Agreement and Plan of Merger dated April 27, 2011,</w:t>
      </w:r>
      <w:r>
        <w:rPr>
          <w:rFonts w:ascii="Arial" w:cs="Arial" w:eastAsia="Arial" w:hAnsi="Arial"/>
          <w:sz w:val="18"/>
          <w:szCs w:val="18"/>
          <w:i w:val="1"/>
          <w:iCs w:val="1"/>
          <w:color w:val="auto"/>
        </w:rPr>
        <w:t xml:space="preserve"> </w:t>
      </w:r>
      <w:r>
        <w:rPr>
          <w:rFonts w:ascii="Arial" w:cs="Arial" w:eastAsia="Arial" w:hAnsi="Arial"/>
          <w:sz w:val="18"/>
          <w:szCs w:val="18"/>
          <w:color w:val="auto"/>
        </w:rPr>
        <w:t>as amended May 20, 2011 (the “Merger Agreement”). We paid approximately $746.4 million in cash and approximately $137.1 million in equity, for a total consideration of $883.4 million.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0" w:right="239" w:bottom="1440" w:gutter="0" w:footer="0" w:header="0"/>
        </w:sectPr>
      </w:pPr>
    </w:p>
    <w:bookmarkStart w:id="45" w:name="page46"/>
    <w:bookmarkEnd w:id="45"/>
    <w:p>
      <w:pPr>
        <w:jc w:val="both"/>
        <w:ind w:firstLine="324"/>
        <w:spacing w:after="0" w:line="289" w:lineRule="auto"/>
        <w:rPr>
          <w:sz w:val="20"/>
          <w:szCs w:val="20"/>
          <w:color w:val="auto"/>
        </w:rPr>
      </w:pPr>
      <w:r>
        <w:rPr>
          <w:rFonts w:ascii="Arial" w:cs="Arial" w:eastAsia="Arial" w:hAnsi="Arial"/>
          <w:sz w:val="16"/>
          <w:szCs w:val="16"/>
          <w:i w:val="1"/>
          <w:iCs w:val="1"/>
          <w:color w:val="auto"/>
        </w:rPr>
        <w:t>Accounting Treatment</w:t>
      </w:r>
      <w:r>
        <w:rPr>
          <w:rFonts w:ascii="Arial" w:cs="Arial" w:eastAsia="Arial" w:hAnsi="Arial"/>
          <w:sz w:val="16"/>
          <w:szCs w:val="16"/>
          <w:color w:val="auto"/>
        </w:rPr>
        <w:t>. We have applied the acquisition method to account for the LoopNet transaction which requires that, among other things,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acquired and liabilities assumed be recorded at their fair values as of the acquisition date. The purchase price was allocated to trade names, customer base, database technology, goodwill and various other asset and liability accounts. The acquired trade names recorded in connection with the LoopNet acquisition have an indefinite estimated useful life and are not amortized, but are subject to annual impairment tests. The acquired customer base for the acquisition, which consists of one distinct intangible asset and is composed of acquired customer contracts and the related customer relationships, is being amortized on an accelerated basis related to the expected economic benefit of the intangible asset over the estimated useful life. The acquired database technology for the acquisition is amortized on a straight-line basis over the estimated useful life. Goodwill for the acquisition is not amortized, but is subject to annual impairment tests. The results of operations of LoopNet have been consolidated with those of the Company since the date of the acquisition. See Note 3 of the Notes to Consolidated Financial Statements included in this Annual Report on Form 10-K for further details on the LoopNet acquisition.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principal sources of liquidity are cash, cash equivalents and debt from our term loan and revolving credit facility. Total cash and cash equivalents were $256.0 million at December 31, 2013 compared to cash, cash equivalents and short-term investments of $156.1 million at December 31, 2012. The increase in cash, cash equivalents and short-term investments for the year ended December 31, 2013 was primarily due to net cash provided by operating activities of $108.3 million.</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Changes in cash, cash equivalents and short-term investments are dependent upon changes in, among other things, working capital items such as accounts receivable, accounts payable, various accrued expenses and deferred revenues, as well as changes in our capital structure due to stock option exercises, purchases and sales of short-term investments and similar events.</w:t>
      </w:r>
    </w:p>
    <w:p>
      <w:pPr>
        <w:spacing w:after="0" w:line="181"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Net cash provided by operating activities for the year ended December 31, 2013 was $108.3 million compared to $86.1 million for the year ended December 31, 2012. The $22.2 million increase in net cash provided by operating activities is primarily due to an increase of approximately $12.5 million from net income plus non-cash items as well as a net increase of approximately $9.7 million in changes in operating assets and liabilities due to differences in timing of collection of receipts and payments of disbursements.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investing activities for the year ended December 31, 2013 was $19.0 million compared to $640.4 million for the year ended December 31, 2012. This $621.4 million decrease in net cash used in investing activities in 2013 was primarily due to $640.9 million of cash used for the acquisition of LoopNet on April 30, 2012, partially offset by a decrease in the proceeds from the sale and settlements of investments of approximately $15.3 million.</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Net cash provided by financing activities was $10.4 million for the year ended December 31, 2013, compared to $164.9 million for the year ended December 31, 2012. This $154.5 million decrease in net cash provided by financing activities was primarily due to the proceeds of $175.0 million received from the term loan facility on April 30, 2012 less payments of debt issuance costs of $11.5 million associated with the debt which did not occur in 2013.</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Contractual Obligations</w:t>
      </w:r>
      <w:r>
        <w:rPr>
          <w:rFonts w:ascii="Arial" w:cs="Arial" w:eastAsia="Arial" w:hAnsi="Arial"/>
          <w:sz w:val="18"/>
          <w:szCs w:val="18"/>
          <w:color w:val="auto"/>
        </w:rPr>
        <w:t>. The following table summarizes our principal contractual obligations at December 31, 2013 and the effect such obligations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have on our liquidity and cash flows in future periods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 and</w:t>
            </w:r>
          </w:p>
        </w:tc>
      </w:t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2015-2016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2017-2018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thereafter</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143,944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69,475</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Long-term debt obligations</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153,125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24,063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94,062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(2)</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7,364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6,499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Total contractual principal cash obligations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304,433</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47,566</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124,086</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63,306</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69,475</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line="216"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Long-term debt obligations include scheduled principal payments and exclude interest payments, which are based on a variable rate of interest as defined in the Credit Agreement.</w:t>
      </w:r>
    </w:p>
    <w:p>
      <w:pPr>
        <w:spacing w:after="0" w:line="203" w:lineRule="exact"/>
        <w:rPr>
          <w:sz w:val="20"/>
          <w:szCs w:val="20"/>
          <w:color w:val="auto"/>
        </w:rPr>
      </w:pPr>
    </w:p>
    <w:p>
      <w:pPr>
        <w:ind w:left="340"/>
        <w:spacing w:after="0" w:line="227" w:lineRule="auto"/>
        <w:rPr>
          <w:sz w:val="20"/>
          <w:szCs w:val="20"/>
          <w:color w:val="auto"/>
        </w:rPr>
      </w:pPr>
      <w:r>
        <w:rPr>
          <w:rFonts w:ascii="Arial" w:cs="Arial" w:eastAsia="Arial" w:hAnsi="Arial"/>
          <w:sz w:val="24"/>
          <w:szCs w:val="24"/>
          <w:color w:val="auto"/>
          <w:vertAlign w:val="superscript"/>
        </w:rPr>
        <w:t>(2)</w:t>
      </w:r>
      <w:r>
        <w:rPr>
          <w:rFonts w:ascii="Arial" w:cs="Arial" w:eastAsia="Arial" w:hAnsi="Arial"/>
          <w:sz w:val="17"/>
          <w:szCs w:val="17"/>
          <w:color w:val="auto"/>
        </w:rPr>
        <w:t>Amounts do not include (i) contracts with terms of twelve months or less, or (ii) multi-year contracts that may be terminated by a third party or us. Amounts do not include unrecognized tax benefits of $4.8 million due to uncertainty regarding the timing of future cash payments.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6" w:name="page47"/>
    <w:bookmarkEnd w:id="46"/>
    <w:p>
      <w:pPr>
        <w:jc w:val="both"/>
        <w:ind w:right="20" w:firstLine="324"/>
        <w:spacing w:after="0" w:line="277" w:lineRule="auto"/>
        <w:rPr>
          <w:sz w:val="20"/>
          <w:szCs w:val="20"/>
          <w:color w:val="auto"/>
        </w:rPr>
      </w:pPr>
      <w:r>
        <w:rPr>
          <w:rFonts w:ascii="Arial" w:cs="Arial" w:eastAsia="Arial" w:hAnsi="Arial"/>
          <w:sz w:val="18"/>
          <w:szCs w:val="18"/>
          <w:color w:val="auto"/>
        </w:rPr>
        <w:t>Our future capital requirements will depend on many factors, including, among others, our operating results, expansion and integration efforts, and our level of acquisition activity or other strategic transactions.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2013, we incurred capital expenditures of approximately $19.0 million. We expect to make aggregate capital expenditures in 2014 of approximately $18.0 million to $23.0 million, primarily related to the build out of leased office space.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 date, we have grown in part by acquiring other companies and we may continue to make acquisitions. Our acquisitions may vary in size and could be material to our current operations. We may use cash, stock, debt or other means of funding to make these acquisitions.</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April 30, 2012, we acquired LoopNet pursuant to the Merger Agreement. Prior to completion of the LoopNet acquisition on April 26, 2012 the FTC accepted a consent order in connection with the LoopNet merger that was previously agreed to by CoStar and LoopNet. The consent order, which is publicly available on the FTC's website at www.ftc.gov, required, among other things, that CoStar and LoopNet divest LoopNet's minority interest in Xceligent. On March 28, 2012, CoStar and LoopNet entered into a Purchase Agreement to sell LoopNet's interest in Xceligent to DMGI. The parties closed the sale of LoopNet's interest in Xceligent to DMGI on May 3, 2012. We received $4.2 million in proceeds from the sale, which reflected the fair value of the investment at the time of sale and did not result in any gain on the sale of the investment.</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funded the cash portion of the consideration payable to LoopNet stockholders in the merger through a combination of cash on hand, including the net proceeds of approximately $247.9 million from an equity offering we completed in June 2011, and $175.0 million in proceeds from a term loan facility pursuant to the Credit Agreement, dated February 16, 2012, by and among CoStar, as borrower, CoStar Realty, as co-borrower, J.P. Morgan Bank, as administrative agent, and the other lenders thereto. In addition to the $175.0 million term loan facility, the Credit Agreement provides for a $50.0 million revolving credit facility, each with a term of five years. We made principal payments of approximately $4.4 million and $17.5 million for the years ended December 31, 2012 and 2013, respectively. As of December 31, 2013, maturities of our borrowings under the Credit Agreement for each of the next four years ended December 31, 2014 to 2017, are expected to be $24.1 million, $32.8 million, $61.3 million and $35.0 million, respectively.</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Credit Agreement requires us to maintain a Debt Service Coverage Ratio (as defined in the Credit Agreement) of at least 1.5 to 1.0 and a Total Leverage Ratio (as defined in the Credit Agreement) that does not exceed 2.75 to 1.00 during each of the three months ending December 31, 2013, March 31, 2014 and June 30, 2014; and 2.50 to 1.00 thereafter. The Credit Agreement also includes other covenants that were effective as of April 30, 2012, including covenants that, subject to certain exceptions, restrict our ability and the ability of our subsidiaries (i) to incur additional indebtedness, (ii) to create, incur, assume or permit to exist any liens, (iii) to enter into mergers, consolidations or similar transactions, (iv) to make investments and acquisitions, (v) to make certain dispositions of assets, (vi) to make dividends, distributions and prepayments of certain indebtedness, and (vii) to enter into certain transactions with affiliates. We were in compliance with the covenants in the Credit Agreement as of December 31, 2013.</w:t>
      </w:r>
    </w:p>
    <w:p>
      <w:pPr>
        <w:spacing w:after="0" w:line="17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Commencing with the fiscal year ending December 31, 2012, the Credit Agreement requires us to make an annual prepayment of the term loan facility equal to a percentage of Excess Cash Flow (as defined in the Credit Agreement) to reduce the principal amount outstanding under the term loan facility. The prepayment percentage is 50% when the Total Leverage Ratio exceeds 3.00 to 1.00; 25% when the Total Leverage Ratio is greater than 2.50 to 1.00 but equal to or less than 3.00 to 1.00; and 0% when the Total Leverage Ratio is equal to or less than 2.50 to 1.00. This prepayment requirement is reduced by the amount of prior voluntary prepayments during the respective fiscal year, subject to certain exceptions set forth in the Credit Agreement. The Excess Cash Flow payment, if required, is due within ten business days of the date on which the annual financial statements are delivered or required to be delivered to the lenders pursuant to the Credit Agreement. For the fiscal year ended December 31, 2013, we were not required to make an Excess Cash Flow payment.</w:t>
      </w:r>
    </w:p>
    <w:p>
      <w:pPr>
        <w:spacing w:after="0" w:line="16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obtaining the term loan facility, we incurred approximately $11.5 million in debt issuance costs, which were capitalized and are being amortized as interest expense over the term of the Credit Agreement using the effective interest method. The debt issuance costs are comprised of approximately $9.2 million in underwriting fees and approximately $2.3 million primarily related to legal fees associated with the debt issuance.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7" w:name="page48"/>
    <w:bookmarkEnd w:id="47"/>
    <w:p>
      <w:pPr>
        <w:jc w:val="both"/>
        <w:ind w:firstLine="324"/>
        <w:spacing w:after="0" w:line="293" w:lineRule="auto"/>
        <w:rPr>
          <w:sz w:val="20"/>
          <w:szCs w:val="20"/>
          <w:color w:val="auto"/>
        </w:rPr>
      </w:pPr>
      <w:r>
        <w:rPr>
          <w:rFonts w:ascii="Arial" w:cs="Arial" w:eastAsia="Arial" w:hAnsi="Arial"/>
          <w:sz w:val="16"/>
          <w:szCs w:val="16"/>
          <w:color w:val="auto"/>
        </w:rPr>
        <w:t>As of December 31, 2012 and 2013, no amounts were outstanding under the revolving credit facility. Total interest expense for the term loan facility was approximately $0, $4.8 million and $6.9 million for the years ended December 31, 2011, 2012 and 2013, respectively. Interest expense included amortized debt issuance costs of approximately $0, $2.0 million and $3.0 million for the years ended December 31, 2011, 2012 and 2013, respectively. Pursuant to the terms of the Credit Agreement, we are required to make interest payments on the term loan facility at a variable rate of interest and during interest periods selected by us as described in Note 9 of the Notes to Consolidated Financial Statements included in this Annual Report on Form 10-K. Total interest paid for the term loan facility was approximately $0, $2.5 million and $4.3 million for the years ended December 31, 2011, 2012 and 2013, respectively.</w:t>
      </w:r>
    </w:p>
    <w:p>
      <w:pPr>
        <w:spacing w:after="0" w:line="1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2012, we granted a total of 399,413 shares pursuant to performance-based restricted common stock awards with a forfeiture date of March 31, 2017. Upon vesting of these awards, consistent with tax minimum withholding requirements, a portion of the shares subject to the awards will be remitted by the employees for payment of their individual income tax obligations. The shares remitted will be canceled and we will make a cash tax payment equivalent to the canceled shares, currently estimated to be approximately $30.0 million. This amount is based on several assumptions, including the estimated stock price at the time of vesting as well as the individual minimum withholding rates for the employees. If the actual stock price and individual tax rates differ from these estimates, the cash payment may change.</w:t>
      </w:r>
    </w:p>
    <w:p>
      <w:pPr>
        <w:spacing w:after="0" w:line="19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Based on current plans, we believe that our available cash combined with positive cash flow provided by operating activities should be sufficient to fund our operations for at least the next 12 months.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December 31, 2013, we had $24.3 million par value of long-term investments in student loan ARS, which failed to settle at auctions. The majority of these investments are of high credit quality with AAA credit ratings and are primarily securities supported by guarantees from the FFELP of the U.S. Department of Education. While we continue to earn interest on these investments, the investments are not liquid in the short-term. In the event we need to immediately access these funds, we may have to sell these securities at an amount below par value. Based on our ability to access our cash and cash equivalents and our expected operating cash flows, we do not anticipate having to sell these investments below par value in order to operate our business in the foreseeable future.</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As more fully described in Note 11 of the Notes to Condensed Consolidated Financial Statements included in this Annual Report on Form 10-K, on January 3, 2012, LoopNet, our wholly owned subsidiary, was sued by CIVIX-DDI, LLC (“Civix”) for alleged patent infringement, and on or about May 14, 2012, Civix filed a motion for leave to amend its complaint against LoopNet seeking to add CoStar as a defendant, alleging that our products also infringe Civix's patents. The complaint seeks unspecified damages, attorneys' fees and costs. On June 21, 2012, we filed an action seeking a declaratory judgment of non-infringement and invalidity against Civix; we amended this complaint on August 14, 2012 to assert an affirmative claim against Civix for breach of contract, alleging Civix violated its license agreement and covenant not to sue with one of our technology licensors. On November 25, 2013, Civix submitted its expert’s report of damages, which estimated the payment it deemed appropriate in the event that we are found liable of infringement. We believe that Civix’s calculation of damages is based on improper assumptions and miscalculations, and is otherwise unsupported. We submitted our own expert’s report of damages, which concluded that the appropriate payment to be made in the event that we are found liable of infringement is significantly less than Civix’s estimate of appropriate damages. Moreover, our expert's report of damages concluded that while Civix’s calculation of damages was fundamentally flawed and should not be used to determine damages, simply applying certain necessary adjustments to Civix's calculation as outlined in our expert's report resulted in a significant reduction in Civix’s calculation of damages to approximately $3.7 million. On November 5, 2013 we offered to settle all outstanding litigation with Civix for $600,000. At this time we cannot predict the outcome of the litigation with Civix, but we intend to vigorously defend against Civix’s claims. While we believe we have meritorious defenses against Civix’s claims, we estimate that, based on our adjusted calculation of Civix’s alleged damages, the matter could result in a loss of up to $3.1 million in excess of the amount accrued.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July 2012, the FASB issued authoritative guidance to simplify how companies test indefinite-lived intangible assets for impairment. The guidance permits a company to first assess qualitative factors to determine whether it is more likely than not that an indefinite-lived intangible asset is impaired as a basis for determining whether it is necessary to perform the quantitative impairment test. This guidance is effective for annual and interim impairment tests performed for fiscal years beginning after September 15, 2012, with early adoption permitted. This guidance did not have a material impact on our results of operations or financial position.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48" w:name="page49"/>
    <w:bookmarkEnd w:id="48"/>
    <w:p>
      <w:pPr>
        <w:jc w:val="both"/>
        <w:ind w:firstLine="324"/>
        <w:spacing w:after="0" w:line="254" w:lineRule="auto"/>
        <w:rPr>
          <w:sz w:val="20"/>
          <w:szCs w:val="20"/>
          <w:color w:val="auto"/>
        </w:rPr>
      </w:pPr>
      <w:r>
        <w:rPr>
          <w:rFonts w:ascii="Arial" w:cs="Arial" w:eastAsia="Arial" w:hAnsi="Arial"/>
          <w:sz w:val="18"/>
          <w:szCs w:val="18"/>
          <w:color w:val="auto"/>
        </w:rPr>
        <w:t>In February 2013, the FASB issued authoritative guidance to improve the reporting of reclassifications out of accumulated other comprehensive income. This guidance requires a company to present, either on the consolidated statements of operations or in the notes to the consolidated financial statements, significant amounts reclassified out of accumulated other comprehensive income by the respective line items of net income, but only if the amount reclassified is required under GAAP to be reclassified in its entirety to net income. For other amounts that are not required under GAAP to be reclassified in their entirety to net income in the same reporting period, an entity is required to cross-reference other disclosures required under GAAP that provide additional detail about those amounts. This guidance is effective prospectively for financial statements issued for interim and annual periods beginning after December 15, 2012. This guidance did not have a material impact on our results of operations or financial position, but we provided additional disclosures in our financial statements.</w:t>
      </w:r>
    </w:p>
    <w:p>
      <w:pPr>
        <w:spacing w:after="0" w:line="19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July 2013, the FASB issued authoritative guidance to improve the reporting of an unrecognized tax benefit when a net operating loss carryforward, a similar tax loss, or a tax credit carryforward exists. This guidance requires a company to present an unrecognized tax benefit, or a portion of an unrecognized tax benefit, in the financial statements as a reduction to a deferred tax asset for a net operating loss carryforward, a similar tax loss, or a tax credit carryforward. If a net operating loss carryforward, a similar tax loss, or a tax credit carryforward is not available at the reporting date or the tax law of the applicable jurisdiction does not require a company to use, and a company does not intend to use, the deferred tax asset for such purpose, the unrecognized tax benefit should be presented in the financial statements as a liability and should not be combined with deferred tax assets. This guidance is effective prospectively for financial statements issued for interim and annual periods beginning after December 15, 2013 with early adoption and retrospective application permitted. This guidance is not expected to have a material impact on our results of operations, financial position or related disclosures.</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provide information, analytics and marketing services to the commercial real estate and related business community in the U.S., U.K. and France. Our functional currency for our operations in the U.K. and France is the local currency. As such, fluctuations in the British Pound and Euro may have an impact on our business, results of operations and financial position. For the year ended December 31, 2013, revenue denominated in foreign currencies was approximately 4.6% of total revenue. For the year ended December 31, 2013, our revenue would have decreased by approximately $2.0 million if the U.S. dollar exchange rate used strengthened by 10%. In addition, we have assets and liabilities denominated in foreign currencies. A 10% strengthening of the U.S. dollar exchange rate against all currencies with which we have exposure at December 31, 2013 would have resulted in an increase of approximately $3.6 million in the carrying amount of net assets. For the year ended December 31, 2013, our revenue would have increased by approximately $2.0 million if the U.S. dollar exchange rate used weakened by 10%. In addition, we have assets and liabilities denominated in foreign currencies. A 10% weakening of the U.S. dollar exchange rate against all currencies with which we have exposure at December 31, 2013 would have resulted in a decrease of approximately $3.6 million in the carrying amount of net assets. We currently do not use financial instruments to hedge our exposure to exchange rate fluctuations with respect to our foreign subsidiaries. We may seek to enter hedging transactions in the future to reduce our exposure to exchange rate fluctuations, but we may be unable to enter into hedging transactions successfully, on acceptable terms or at all. As of December 31, 2013, accumulated other comprehensive loss included a loss from foreign currency translation adjustments of approximately $4.0 million.</w:t>
      </w:r>
    </w:p>
    <w:p>
      <w:pPr>
        <w:spacing w:after="0" w:line="17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do not have material exposure to market risks associated with changes in interest rates related to cash equivalent securities held as of December 31, 2013. As of December 31, 2013, we had $256.0 million of cash and cash equivalents. If there is an increase or decrease in interest rates, there will be a corresponding increase or decrease in the amount of interest earned on our cash and cash equivalents.</w:t>
      </w:r>
    </w:p>
    <w:p>
      <w:pPr>
        <w:spacing w:after="0" w:line="18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of December 31, 2013, we had $153.1 million of long-term debt bearing interest at a variable rate of LIBOR plus 2.00%. If there is an increase or decrease in interest rates, there will be a corresponding increase or decrease in the amount of interest expense on our long-term debt. Based on our outstanding borrowings as of December 31, 2013, an increase in the interest rate by 25 basis points would result in an increase of approximately $400,000 in interest expense annually. Based on our outstanding borrowings as of December 31, 2013, a decrease in the interest rate by 25 basis points would result in a decrease of approximately $400,000 in interest expense annually. Based on our ability to access our cash and cash equivalents, and our expected operating cash flows, we do not believe that increases or decreases in interest rates will impact our ability to operate our business in the foreseeable future.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4" w:right="239" w:bottom="1440" w:gutter="0" w:footer="0" w:header="0"/>
        </w:sectPr>
      </w:pPr>
    </w:p>
    <w:bookmarkStart w:id="49" w:name="page50"/>
    <w:bookmarkEnd w:id="49"/>
    <w:p>
      <w:pPr>
        <w:jc w:val="both"/>
        <w:ind w:firstLine="324"/>
        <w:spacing w:after="0" w:line="287" w:lineRule="auto"/>
        <w:rPr>
          <w:sz w:val="20"/>
          <w:szCs w:val="20"/>
          <w:color w:val="auto"/>
        </w:rPr>
      </w:pPr>
      <w:r>
        <w:rPr>
          <w:rFonts w:ascii="Arial" w:cs="Arial" w:eastAsia="Arial" w:hAnsi="Arial"/>
          <w:sz w:val="16"/>
          <w:szCs w:val="16"/>
          <w:color w:val="auto"/>
        </w:rPr>
        <w:t>Included within our long-term investments are investments in mostly AAA-rated student loan ARS. These securities are primarily securities supported by guarantees from the FFELP of the U.S. Department of Education. As of December 31, 2013, auctions for $24.3 million of our investments in auction rate securities failed. As a result, we may not be able to sell these investments at par value until a future auction on these investments is successful. In the event we need to immediately liquidate these investments, we may have to locate a buyer outside the auction process, who may be unwilling to purchase the investments at par, resulting in a loss. Based on an assessment of fair value of these investments in ARS as of December 31, 2013, we determined that there was a decline in the fair value of our ARS investments of approximately $1.5 million, which was deemed to be a temporary impairment and recorded as an unrealized loss in accumulated other comprehensive loss in stockholders’ equity. If the issuers are unable to successfully close future auctions and/or their credit ratings deteriorate, we may be required to adjust the carrying value of these investments as a temporary impairment and recognize a greater unrealized loss in accumulated other comprehensive loss or as an other-than-temporary impairment charge to earnings. Based on our ability to access our cash and cash equivalents, and our expected operating cash flows, we do not anticipate having to sell these securities below par value in order to operate our business in the foreseeable future. See Notes 4 and 5 to the Notes to Consolidated Financial Statements included in this Annual Report on Form 10-K for further discussion.</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approximately $863.1 million in intangible assets as of December 31, 2013. As of December 31, 2013, we believe our intangible assets will be recoverable, however, changes in the economy, the business in which we operate and our own relative performance could change the assumptions used to evaluate intangible asset recoverability. In the event that we determine that an asset has been impaired, we would recognize an impairment charge equal to the amount by which the carrying amount of the assets exceeds the fair value of the asset. We continue to monitor these assumptions and their effect on the estimated recoverability of our intangible assets.</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Financial Statements meeting the requirements of Regulation S-X are set forth beginning at page F-1. Supplementary data is set forth in “Management’s Discussion and Analysis of Financial Condition and Results of Operations” under the caption “Consolidated Results of Operations” and "Consolidated Quarterly Results of Operations."</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filed or submitted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2013, we carried out an evaluation, under the supervision and with the participation of our management, including our Chief Executive Officer and our Chief Financial Officer, of the effectiveness of the design and operation of our disclosure controls and procedures. Based on the foregoing, our Chief Executive Officer and Chief Financial Officer concluded that our disclosure controls and procedures were effective and were operating at the reasonable assurance level.</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Management of CoStar is responsible for establishing and maintaining adequate internal control over financial reporting and for the assessment of the effectiveness of internal control over financial reporting. As defined by the Securities and Exchange Commission, internal control over financial reporting is a process designed by, or supervised by, the Company’s principal executive and principal financial officers, to provide reasonable assurance regarding the reliability of financial reporting and the preparation of financial statements in accordance with GAAP.</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50" w:name="page51"/>
    <w:bookmarkEnd w:id="50"/>
    <w:p>
      <w:pPr>
        <w:jc w:val="both"/>
        <w:ind w:firstLine="324"/>
        <w:spacing w:after="0" w:line="255" w:lineRule="auto"/>
        <w:rPr>
          <w:sz w:val="20"/>
          <w:szCs w:val="20"/>
          <w:color w:val="auto"/>
        </w:rPr>
      </w:pPr>
      <w:r>
        <w:rPr>
          <w:rFonts w:ascii="Arial" w:cs="Arial" w:eastAsia="Arial" w:hAnsi="Arial"/>
          <w:sz w:val="18"/>
          <w:szCs w:val="18"/>
          <w:color w:val="auto"/>
        </w:rPr>
        <w:t>The Company’s internal control over financial reporting is supported by written policies and procedures, that (1) pertain to the maintenance of records that, in reasonable detail, accurately and fairly reflect the transactions and dispositions of the Company’s assets; (2) provide reasonable assurance that transactions are recorded as necessary to permit preparation of financial statements in accordance with GAAP, and that receipts and expenditures of the Company are being made only in accordance with authorizations of the Company’s management and directors; and (3) provide reasonable assurance regarding prevention or timely detection of unauthorized acquisition, use or disposition of the Company’s assets that could have a material effect on the financial statements.</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preparation of the Company's annual financial statements, management of the Company has undertaken an assessment of the effectiveness of the Company’s internal control over financial reporting as of December 31, 2013 based on criteria established in Internal Control – Integrated Framework (1992 framework) issued by the Committee of Sponsoring Organizations of the Treadway Commission (“the COSO Framework”). Management's assessment included an evaluation of the design of the Company's internal control over financial reporting and testing of the operational effectiveness of the Company's internal control over financial reporting.</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this assessment, management did not identify any material weakness in the Company's internal control, and management has concluded that the Company's internal control over financial reporting was effective as of December 31, 2013.</w:t>
      </w:r>
    </w:p>
    <w:p>
      <w:pPr>
        <w:spacing w:after="0" w:line="17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Ernst &amp; Young LLP, the independent registered public accounting firm that audited the Company's financial statements included in this report, has issued an attestation report on the effectiveness of internal control over financial reporting, a copy of which is included in this Annual Report on Form 10-K.</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our most recent fiscal quarter that have materially affected, or are reasonably likely to materially affect, our internal control over financial reporting.</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1" w:name="page52"/>
    <w:bookmarkEnd w:id="51"/>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CoStar has adopted a Code of Conduct for its directors. In addition, CoStar has adopted a separate Code of Conduct for its officers and employees, including its principal executive, financial and accounting officers, or persons performing similar functions. Copies of each of these codes may be found in the “Investors” section of the Company’s website at www.CoStar.com/Investors/Corpgovernance.aspx. We intend to disclose future amendments to certain provisions of our Codes, or waivers of such provisions granted to executive officers and directors, as required by SEC rules on the website within four business days following the date of such amendment or waiver.</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remaining information required by this Item is incorporated by reference to our Proxy Statement for our 2014 annual meeting of stockholders.</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is incorporated by reference to our Proxy Statement for our 2014 annual meeting of stockholders.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is incorporated by reference to our Proxy Statement for our 2014 annual meeting of stockholders.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is incorporated by reference to our Proxy Statement for our 2014 annual meeting of stockholders.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is incorporated by reference to our Proxy Statement for our 2014 annual meeting of stockholders.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0"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(a)(1) The following financial statements are filed as a part of this report: CoStar Group, Inc. Consolidated Financial Statements.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(a)(2) Financial statement schedules:</w:t>
      </w: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Years Ended December 31, 2011, 2012, and 2013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Balance at</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Charged to</w:t>
            </w:r>
          </w:p>
        </w:tc>
        <w:tc>
          <w:tcPr>
            <w:tcW w:w="2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Write-offs,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Allowance for doubtful accounts and billing</w:t>
            </w: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Beginning</w:t>
            </w:r>
          </w:p>
        </w:tc>
        <w:tc>
          <w:tcPr>
            <w:tcW w:w="14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Charged to</w:t>
            </w: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c>
          <w:tcPr>
            <w:tcW w:w="2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Net of</w:t>
            </w:r>
          </w:p>
        </w:tc>
        <w:tc>
          <w:tcPr>
            <w:tcW w:w="14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Balance at</w:t>
            </w:r>
          </w:p>
        </w:tc>
      </w:tr>
      <w:tr>
        <w:trPr>
          <w:trHeight w:val="261"/>
        </w:trPr>
        <w:tc>
          <w:tcPr>
            <w:tcW w:w="4580" w:type="dxa"/>
            <w:vAlign w:val="bottom"/>
            <w:tcBorders>
              <w:bottom w:val="single" w:sz="8" w:color="auto"/>
            </w:tcBorders>
          </w:tcPr>
          <w:p>
            <w:pPr>
              <w:ind w:left="40"/>
              <w:spacing w:after="0" w:line="262" w:lineRule="exact"/>
              <w:rPr>
                <w:sz w:val="20"/>
                <w:szCs w:val="20"/>
                <w:color w:val="auto"/>
              </w:rPr>
            </w:pPr>
            <w:r>
              <w:rPr>
                <w:rFonts w:ascii="Arial" w:cs="Arial" w:eastAsia="Arial" w:hAnsi="Arial"/>
                <w:sz w:val="18"/>
                <w:szCs w:val="18"/>
                <w:b w:val="1"/>
                <w:bCs w:val="1"/>
                <w:color w:val="auto"/>
              </w:rPr>
              <w:t xml:space="preserve">adjustments </w:t>
            </w:r>
            <w:r>
              <w:rPr>
                <w:rFonts w:ascii="Arial" w:cs="Arial" w:eastAsia="Arial" w:hAnsi="Arial"/>
                <w:sz w:val="25"/>
                <w:szCs w:val="25"/>
                <w:color w:val="auto"/>
                <w:vertAlign w:val="superscript"/>
              </w:rPr>
              <w:t>(1)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of Year</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Expense</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50"/>
              <w:spacing w:after="0" w:line="262" w:lineRule="exact"/>
              <w:rPr>
                <w:sz w:val="20"/>
                <w:szCs w:val="20"/>
                <w:color w:val="auto"/>
              </w:rPr>
            </w:pPr>
            <w:r>
              <w:rPr>
                <w:rFonts w:ascii="Arial" w:cs="Arial" w:eastAsia="Arial" w:hAnsi="Arial"/>
                <w:sz w:val="18"/>
                <w:szCs w:val="18"/>
                <w:b w:val="1"/>
                <w:bCs w:val="1"/>
                <w:color w:val="auto"/>
                <w:w w:val="83"/>
              </w:rPr>
              <w:t xml:space="preserve">Accounts </w:t>
            </w:r>
            <w:r>
              <w:rPr>
                <w:rFonts w:ascii="Arial" w:cs="Arial" w:eastAsia="Arial" w:hAnsi="Arial"/>
                <w:sz w:val="25"/>
                <w:szCs w:val="25"/>
                <w:b w:val="1"/>
                <w:bCs w:val="1"/>
                <w:color w:val="auto"/>
                <w:w w:val="83"/>
                <w:vertAlign w:val="superscript"/>
              </w:rPr>
              <w:t>(2)</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Recoveries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End of Year</w:t>
            </w: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ended December 31, 2011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2,524</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Year ended December 31, 2012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2,524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1,456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475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2,935</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Year ended December 31, 2013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1,855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3,397</w:t>
            </w: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5" w:lineRule="exact"/>
        <w:rPr>
          <w:sz w:val="20"/>
          <w:szCs w:val="20"/>
          <w:color w:val="auto"/>
        </w:rPr>
      </w:pPr>
    </w:p>
    <w:p>
      <w:pPr>
        <w:ind w:left="580" w:hanging="248"/>
        <w:spacing w:after="0"/>
        <w:tabs>
          <w:tab w:leader="none" w:pos="58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Additions to the allowance for doubtful accounts are charged to bad debt expense.</w:t>
      </w:r>
    </w:p>
    <w:p>
      <w:pPr>
        <w:spacing w:after="0" w:line="144" w:lineRule="exact"/>
        <w:rPr>
          <w:rFonts w:ascii="Arial" w:cs="Arial" w:eastAsia="Arial" w:hAnsi="Arial"/>
          <w:sz w:val="25"/>
          <w:szCs w:val="25"/>
          <w:color w:val="auto"/>
          <w:vertAlign w:val="superscript"/>
        </w:rPr>
      </w:pPr>
    </w:p>
    <w:p>
      <w:pPr>
        <w:ind w:left="580" w:hanging="248"/>
        <w:spacing w:after="0"/>
        <w:tabs>
          <w:tab w:leader="none" w:pos="58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Amounts represent opening balances from acquired businesses.</w:t>
      </w:r>
    </w:p>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Additional financial statement schedules are omitted because they are not applicable or not required or because the required information is incorporated herein by reference or included in the financial statements or related notes included elsewhere in this report.</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(a)(3) The documents required to be filed as exhibits to this Report under Item 601 of Regulation S-K are listed in the Exhibit Index included elsewhere in this report, which list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0"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7"/>
          <w:szCs w:val="17"/>
          <w:color w:val="auto"/>
        </w:rPr>
        <w:t>Pursuant to the requirements of Section 13 of the Securities Act of 1934, as amended, the Registrant has duly caused this report to be signed on its behalf by the undersigned, thereunto duly authorized, in the City of Washington, District of Columbia, on the 20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of February 2014.</w:t>
      </w:r>
    </w:p>
    <w:p>
      <w:pPr>
        <w:spacing w:after="0" w:line="21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COSTAR GROUP, INC.</w:t>
      </w:r>
    </w:p>
    <w:p>
      <w:pPr>
        <w:spacing w:after="0" w:line="333" w:lineRule="exact"/>
        <w:rPr>
          <w:sz w:val="20"/>
          <w:szCs w:val="20"/>
          <w:color w:val="auto"/>
        </w:rPr>
      </w:pPr>
    </w:p>
    <w:p>
      <w:pPr>
        <w:ind w:left="528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C. Florance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Andrew C. Florance</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KNOW ALL PERSONS BY THESE PRESENTS, that each individual whose signature appears below constitutes and appoints Andrew C. Florance and Brian J. Radecki, and each of them individually, as their true and lawful attorneys-in-fact and agents, with full power of substitution, for him and in his name, place and stead, in any and all capacities, to sign any and all amendments to this report, and to file the same, with all exhibits thereto and to all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herein by ratifying and confirming all that said attorneys-in-fact and agents or any of them, or his or their substitute or substitutes, may lawfully do or cause to be done by virtue hereof.</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0" w:right="239" w:bottom="1440" w:gutter="0" w:footer="0" w:header="0"/>
        </w:sectPr>
      </w:pPr>
    </w:p>
    <w:bookmarkStart w:id="54" w:name="page55"/>
    <w:bookmarkEnd w:id="54"/>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Act of 1934, as amended, this report has been signed by the following persons on behalf of the registrant and in the capacities and on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ind w:left="198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4780" w:type="dxa"/>
            <w:vAlign w:val="bottom"/>
            <w:gridSpan w:val="2"/>
          </w:tcPr>
          <w:p>
            <w:pPr>
              <w:ind w:left="1980"/>
              <w:spacing w:after="0"/>
              <w:rPr>
                <w:sz w:val="20"/>
                <w:szCs w:val="20"/>
                <w:color w:val="auto"/>
              </w:rPr>
            </w:pPr>
            <w:r>
              <w:rPr>
                <w:rFonts w:ascii="Arial" w:cs="Arial" w:eastAsia="Arial" w:hAnsi="Arial"/>
                <w:sz w:val="18"/>
                <w:szCs w:val="18"/>
                <w:b w:val="1"/>
                <w:bCs w:val="1"/>
                <w:color w:val="auto"/>
              </w:rPr>
              <w:t>Capacity</w:t>
            </w:r>
          </w:p>
        </w:tc>
        <w:tc>
          <w:tcPr>
            <w:tcW w:w="1820" w:type="dxa"/>
            <w:vAlign w:val="bottom"/>
          </w:tcPr>
          <w:p>
            <w:pPr>
              <w:ind w:left="72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77"/>
        </w:trPr>
        <w:tc>
          <w:tcPr>
            <w:tcW w:w="4700" w:type="dxa"/>
            <w:vAlign w:val="bottom"/>
          </w:tcPr>
          <w:p>
            <w:pPr>
              <w:ind w:left="40"/>
              <w:spacing w:after="0"/>
              <w:rPr>
                <w:sz w:val="20"/>
                <w:szCs w:val="20"/>
                <w:color w:val="auto"/>
              </w:rPr>
            </w:pPr>
            <w:r>
              <w:rPr>
                <w:rFonts w:ascii="Arial" w:cs="Arial" w:eastAsia="Arial" w:hAnsi="Arial"/>
                <w:sz w:val="18"/>
                <w:szCs w:val="18"/>
                <w:color w:val="auto"/>
              </w:rPr>
              <w:t>/s/ Michael R. Klein</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Chairman of the Board</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20, 2014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Michael R. Klein</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Andrew C. Florance</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20, 2014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780" w:type="dxa"/>
            <w:vAlign w:val="bottom"/>
            <w:gridSpan w:val="2"/>
            <w:vMerge w:val="restart"/>
          </w:tcPr>
          <w:p>
            <w:pPr>
              <w:ind w:left="20"/>
              <w:spacing w:after="0"/>
              <w:rPr>
                <w:sz w:val="20"/>
                <w:szCs w:val="20"/>
                <w:color w:val="auto"/>
              </w:rPr>
            </w:pPr>
            <w:r>
              <w:rPr>
                <w:rFonts w:ascii="Arial" w:cs="Arial" w:eastAsia="Arial" w:hAnsi="Arial"/>
                <w:sz w:val="18"/>
                <w:szCs w:val="18"/>
                <w:color w:val="auto"/>
              </w:rPr>
              <w:t>President and a Director</w:t>
            </w: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Andrew C. Florance</w:t>
            </w:r>
          </w:p>
        </w:tc>
        <w:tc>
          <w:tcPr>
            <w:tcW w:w="120" w:type="dxa"/>
            <w:vAlign w:val="bottom"/>
          </w:tcPr>
          <w:p>
            <w:pPr>
              <w:spacing w:after="0"/>
              <w:rPr>
                <w:sz w:val="20"/>
                <w:szCs w:val="20"/>
                <w:color w:val="auto"/>
              </w:rPr>
            </w:pPr>
          </w:p>
        </w:tc>
        <w:tc>
          <w:tcPr>
            <w:tcW w:w="4780" w:type="dxa"/>
            <w:vAlign w:val="bottom"/>
            <w:gridSpan w:val="2"/>
            <w:vMerge w:val="continue"/>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Brian J. Radecki</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20, 2014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78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Brian J. Radecki</w:t>
            </w:r>
          </w:p>
        </w:tc>
        <w:tc>
          <w:tcPr>
            <w:tcW w:w="120" w:type="dxa"/>
            <w:vAlign w:val="bottom"/>
          </w:tcPr>
          <w:p>
            <w:pPr>
              <w:spacing w:after="0"/>
              <w:rPr>
                <w:sz w:val="20"/>
                <w:szCs w:val="20"/>
                <w:color w:val="auto"/>
              </w:rPr>
            </w:pPr>
          </w:p>
        </w:tc>
        <w:tc>
          <w:tcPr>
            <w:tcW w:w="4780" w:type="dxa"/>
            <w:vAlign w:val="bottom"/>
            <w:gridSpan w:val="2"/>
            <w:vMerge w:val="continue"/>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David Bonderman</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20, 2014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David Bonderman</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Michael J. Glosserman</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20, 2014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Michael J. Glosserman</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Warren H. Haber</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18, 2014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Warren H. Haber</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John W. Hill</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19, 2014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John W. Hill</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Christopher J. Nassetta</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17, 2014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Christopher J. Nassetta</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700" w:type="dxa"/>
            <w:vAlign w:val="bottom"/>
          </w:tcPr>
          <w:p>
            <w:pPr>
              <w:ind w:left="40"/>
              <w:spacing w:after="0"/>
              <w:rPr>
                <w:sz w:val="20"/>
                <w:szCs w:val="20"/>
                <w:color w:val="auto"/>
              </w:rPr>
            </w:pPr>
            <w:r>
              <w:rPr>
                <w:rFonts w:ascii="Arial" w:cs="Arial" w:eastAsia="Arial" w:hAnsi="Arial"/>
                <w:sz w:val="18"/>
                <w:szCs w:val="18"/>
                <w:color w:val="auto"/>
              </w:rPr>
              <w:t>/s/ David J. Steinberg</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17, 2014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David J. Steinberg</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4700" w:type="dxa"/>
            <w:vAlign w:val="bottom"/>
          </w:tcPr>
          <w:p>
            <w:pPr>
              <w:spacing w:after="0"/>
              <w:rPr>
                <w:sz w:val="24"/>
                <w:szCs w:val="24"/>
                <w:color w:val="auto"/>
              </w:rPr>
            </w:pPr>
          </w:p>
        </w:tc>
        <w:tc>
          <w:tcPr>
            <w:tcW w:w="4780" w:type="dxa"/>
            <w:vAlign w:val="bottom"/>
            <w:gridSpan w:val="2"/>
          </w:tcPr>
          <w:p>
            <w:pPr>
              <w:jc w:val="right"/>
              <w:ind w:right="359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3780"/>
              <w:spacing w:after="0"/>
              <w:rPr>
                <w:sz w:val="20"/>
                <w:szCs w:val="20"/>
                <w:color w:val="auto"/>
              </w:rPr>
            </w:pPr>
            <w:r>
              <w:rPr>
                <w:rFonts w:ascii="Arial" w:cs="Arial" w:eastAsia="Arial" w:hAnsi="Arial"/>
                <w:sz w:val="18"/>
                <w:szCs w:val="18"/>
                <w:b w:val="1"/>
                <w:bCs w:val="1"/>
                <w:color w:val="auto"/>
              </w:rPr>
              <w:t>INDEX TO EXHIBITS</w:t>
            </w:r>
          </w:p>
        </w:tc>
      </w:tr>
      <w:tr>
        <w:trPr>
          <w:trHeight w:val="603"/>
        </w:trPr>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10380" w:type="dxa"/>
            <w:vAlign w:val="bottom"/>
          </w:tcPr>
          <w:p>
            <w:pPr>
              <w:spacing w:after="0"/>
              <w:rPr>
                <w:sz w:val="24"/>
                <w:szCs w:val="24"/>
                <w:color w:val="auto"/>
              </w:rPr>
            </w:pPr>
          </w:p>
        </w:tc>
      </w:tr>
      <w:tr>
        <w:trPr>
          <w:trHeight w:val="234"/>
        </w:trPr>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No.</w:t>
            </w:r>
          </w:p>
        </w:tc>
        <w:tc>
          <w:tcPr>
            <w:tcW w:w="10380" w:type="dxa"/>
            <w:vAlign w:val="bottom"/>
          </w:tcPr>
          <w:p>
            <w:pPr>
              <w:ind w:left="47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38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ind w:left="1080" w:right="20" w:hanging="719"/>
        <w:spacing w:after="0" w:line="317" w:lineRule="auto"/>
        <w:tabs>
          <w:tab w:leader="none" w:pos="10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Agreement and Plan of Merger, dated as of April 27, 2011, by and among CoStar Group, Inc., Lonestar Acquisition Sub, Inc. and LoopNet, Inc. (Incorporated by reference to Exhibit 2.1 to the Registrant’s Current Report on Form 8-K filed with the Commission on April 28, 2011).</w:t>
      </w:r>
    </w:p>
    <w:p>
      <w:pPr>
        <w:ind w:left="1080" w:right="40" w:hanging="719"/>
        <w:spacing w:after="0" w:line="298" w:lineRule="auto"/>
        <w:tabs>
          <w:tab w:leader="none" w:pos="10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Amendment No. 1 to the Agreement and Plan of Merger, dated as of May 20, 2011, among LoopNet, Inc., the Registrant and Lonestar Acquisition Sub, Inc. (Incorporated by referenced to Exhibit 2.1 to Registrant’s Current Report on Form 8-K filed May 23, 2011).</w:t>
      </w:r>
    </w:p>
    <w:p>
      <w:pPr>
        <w:spacing w:after="0" w:line="1" w:lineRule="exact"/>
        <w:rPr>
          <w:sz w:val="20"/>
          <w:szCs w:val="20"/>
          <w:color w:val="auto"/>
        </w:rPr>
      </w:pPr>
    </w:p>
    <w:p>
      <w:pPr>
        <w:ind w:left="360"/>
        <w:spacing w:after="0"/>
        <w:tabs>
          <w:tab w:leader="none" w:pos="10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Third Amended and Restated Certificate of Incorporation (Incorporated by reference to Exhibit 3.1 to the Registrant's Current Report on Form</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8-K filed with the Commission on June 6, 2013).</w:t>
      </w:r>
    </w:p>
    <w:p>
      <w:pPr>
        <w:spacing w:after="0" w:line="49" w:lineRule="exact"/>
        <w:rPr>
          <w:sz w:val="20"/>
          <w:szCs w:val="20"/>
          <w:color w:val="auto"/>
        </w:rPr>
      </w:pPr>
    </w:p>
    <w:p>
      <w:pPr>
        <w:ind w:left="1080" w:right="40" w:hanging="719"/>
        <w:spacing w:after="0" w:line="277" w:lineRule="auto"/>
        <w:tabs>
          <w:tab w:leader="none" w:pos="10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Third Amended and Restated By-Laws (Incorporated by reference to Exhibit 3.1 to the Registrant’s Current Report on Form 8-K filed with the Commission on September 24, 2013).</w:t>
      </w:r>
    </w:p>
    <w:p>
      <w:pPr>
        <w:spacing w:after="0" w:line="8" w:lineRule="exact"/>
        <w:rPr>
          <w:sz w:val="20"/>
          <w:szCs w:val="20"/>
          <w:color w:val="auto"/>
        </w:rPr>
      </w:pPr>
    </w:p>
    <w:p>
      <w:pPr>
        <w:ind w:left="1080" w:right="40" w:hanging="719"/>
        <w:spacing w:after="0" w:line="277" w:lineRule="auto"/>
        <w:tabs>
          <w:tab w:leader="none" w:pos="10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Specimen Common Stock Certificate (Incorporated by reference to Exhibit 4.1 to the Registration Statement on Form S-4 of the Registrant (Reg. No. 333-174214) filed with the Commission on June 3, 2011).</w:t>
      </w:r>
    </w:p>
    <w:p>
      <w:pPr>
        <w:spacing w:after="0" w:line="8" w:lineRule="exact"/>
        <w:rPr>
          <w:sz w:val="20"/>
          <w:szCs w:val="20"/>
          <w:color w:val="auto"/>
        </w:rPr>
      </w:pPr>
    </w:p>
    <w:p>
      <w:pPr>
        <w:ind w:left="1080" w:right="40" w:hanging="809"/>
        <w:spacing w:after="0" w:line="277" w:lineRule="auto"/>
        <w:tabs>
          <w:tab w:leader="none" w:pos="10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CoStar Group, Inc. 1998 Stock Incentive Plan, as amended (Incorporated by reference to Exhibit 10.1 to the Registrant’s Report on Form 10-Q for the quarter ended September 30, 2005).</w:t>
      </w:r>
    </w:p>
    <w:p>
      <w:pPr>
        <w:spacing w:after="0" w:line="8" w:lineRule="exact"/>
        <w:rPr>
          <w:sz w:val="20"/>
          <w:szCs w:val="20"/>
          <w:color w:val="auto"/>
        </w:rPr>
      </w:pPr>
    </w:p>
    <w:p>
      <w:pPr>
        <w:ind w:left="1080" w:right="40" w:hanging="809"/>
        <w:spacing w:after="0" w:line="277" w:lineRule="auto"/>
        <w:tabs>
          <w:tab w:leader="none" w:pos="10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CoStar Group, Inc. 2007 Stock Incentive Plan, as amended (Incorporated by reference to Exhibit 10.1 to the Registrant’s Current Report on Form 8-K filed June 8, 2012).</w:t>
      </w:r>
    </w:p>
    <w:p>
      <w:pPr>
        <w:spacing w:after="0" w:line="8" w:lineRule="exact"/>
        <w:rPr>
          <w:sz w:val="20"/>
          <w:szCs w:val="20"/>
          <w:color w:val="auto"/>
        </w:rPr>
      </w:pPr>
    </w:p>
    <w:p>
      <w:pPr>
        <w:ind w:left="260"/>
        <w:spacing w:after="0"/>
        <w:tabs>
          <w:tab w:leader="none" w:pos="10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CoStar Group, Inc. 2007 Stock Incentive Plan French Sub-Plan (Incorporated by reference to Exhibit 10.3 to the Registrant’s Report on Form</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10-K for the year ended December 31, 2007).</w:t>
      </w:r>
    </w:p>
    <w:p>
      <w:pPr>
        <w:spacing w:after="0" w:line="49" w:lineRule="exact"/>
        <w:rPr>
          <w:sz w:val="20"/>
          <w:szCs w:val="20"/>
          <w:color w:val="auto"/>
        </w:rPr>
      </w:pPr>
    </w:p>
    <w:p>
      <w:pPr>
        <w:ind w:left="1080" w:right="20" w:hanging="809"/>
        <w:spacing w:after="0" w:line="277" w:lineRule="auto"/>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Form of Stock Option Agreement between the Registrant and certain of its officers, directors and employees (Incorporated by reference to Exhibit 10.8 to the Registrant’s Report on Form 10-K for the year ended December 31, 2004).</w:t>
      </w:r>
    </w:p>
    <w:p>
      <w:pPr>
        <w:spacing w:after="0" w:line="8" w:lineRule="exact"/>
        <w:rPr>
          <w:sz w:val="20"/>
          <w:szCs w:val="20"/>
          <w:color w:val="auto"/>
        </w:rPr>
      </w:pPr>
    </w:p>
    <w:p>
      <w:pPr>
        <w:ind w:left="1080" w:right="40" w:hanging="809"/>
        <w:spacing w:after="0" w:line="277" w:lineRule="auto"/>
        <w:tabs>
          <w:tab w:leader="none" w:pos="10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Form of Stock Option Agreement between the Registrant and Andrew C. Florance (Incorporated by reference to Exhibit 10.8.1 to the Registrant’s Report on Form 10-K for the year ended December 31, 2004).</w:t>
      </w:r>
    </w:p>
    <w:p>
      <w:pPr>
        <w:spacing w:after="0" w:line="8" w:lineRule="exact"/>
        <w:rPr>
          <w:sz w:val="20"/>
          <w:szCs w:val="20"/>
          <w:color w:val="auto"/>
        </w:rPr>
      </w:pPr>
    </w:p>
    <w:p>
      <w:pPr>
        <w:ind w:left="1080" w:right="20" w:hanging="809"/>
        <w:spacing w:after="0" w:line="277" w:lineRule="auto"/>
        <w:tabs>
          <w:tab w:leader="none" w:pos="10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Form of Restricted Stock Agreement between the Registrant and certain of its officers, directors and employees (Incorporated by reference to Exhibit 10.9 to the Registrant’s Report on Form 10-K for the year ended December 31, 2004).</w:t>
      </w:r>
    </w:p>
    <w:p>
      <w:pPr>
        <w:spacing w:after="0" w:line="8" w:lineRule="exact"/>
        <w:rPr>
          <w:sz w:val="20"/>
          <w:szCs w:val="20"/>
          <w:color w:val="auto"/>
        </w:rPr>
      </w:pPr>
    </w:p>
    <w:p>
      <w:pPr>
        <w:ind w:left="1080" w:right="40" w:hanging="809"/>
        <w:spacing w:after="0" w:line="277" w:lineRule="auto"/>
        <w:tabs>
          <w:tab w:leader="none" w:pos="10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Form of 2007 Plan Restricted Stock Grant Agreement between the Registrant and certain of its officers, directors and employees (Incorporated by reference to Exhibit 99.1 to the Registrant’s Report on Form 8-K filed June 22, 2007).</w:t>
      </w:r>
    </w:p>
    <w:p>
      <w:pPr>
        <w:spacing w:after="0" w:line="8" w:lineRule="exact"/>
        <w:rPr>
          <w:sz w:val="20"/>
          <w:szCs w:val="20"/>
          <w:color w:val="auto"/>
        </w:rPr>
      </w:pPr>
    </w:p>
    <w:p>
      <w:pPr>
        <w:ind w:left="260"/>
        <w:spacing w:after="0"/>
        <w:tabs>
          <w:tab w:leader="none" w:pos="10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Form of 2007 Plan Restricted Stock Unit Agreement between the Registrant and certain of its officers and employees (filed herewith).</w:t>
      </w:r>
    </w:p>
    <w:p>
      <w:pPr>
        <w:spacing w:after="0" w:line="63" w:lineRule="exact"/>
        <w:rPr>
          <w:sz w:val="20"/>
          <w:szCs w:val="20"/>
          <w:color w:val="auto"/>
        </w:rPr>
      </w:pPr>
    </w:p>
    <w:p>
      <w:pPr>
        <w:ind w:left="1080" w:right="40" w:hanging="809"/>
        <w:spacing w:after="0" w:line="277" w:lineRule="auto"/>
        <w:tabs>
          <w:tab w:leader="none" w:pos="10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Form of 2007 Plan Incentive Stock Option Grant Agreement between the Registrant and certain of its officers and employees (Incorporated by reference to Exhibit 10.8 to the Registrant’s Report on Form 10-K for the year ended December 31, 2008).</w:t>
      </w:r>
    </w:p>
    <w:p>
      <w:pPr>
        <w:spacing w:after="0" w:line="8" w:lineRule="exact"/>
        <w:rPr>
          <w:sz w:val="20"/>
          <w:szCs w:val="20"/>
          <w:color w:val="auto"/>
        </w:rPr>
      </w:pPr>
    </w:p>
    <w:p>
      <w:pPr>
        <w:ind w:left="1080" w:right="40" w:hanging="854"/>
        <w:spacing w:after="0" w:line="277" w:lineRule="auto"/>
        <w:tabs>
          <w:tab w:leader="none" w:pos="10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Form of 2007 Plan Incentive Stock Option Grant Agreement between the Registrant and Andrew C. Florance (Incorporated by reference to Exhibit 10.9 to the Registrant’s Report on Form 10-K for the year ended December 31, 2008).</w:t>
      </w:r>
    </w:p>
    <w:p>
      <w:pPr>
        <w:spacing w:after="0" w:line="8" w:lineRule="exact"/>
        <w:rPr>
          <w:sz w:val="20"/>
          <w:szCs w:val="20"/>
          <w:color w:val="auto"/>
        </w:rPr>
      </w:pPr>
    </w:p>
    <w:p>
      <w:pPr>
        <w:ind w:left="1080" w:right="20" w:hanging="851"/>
        <w:spacing w:after="0" w:line="277" w:lineRule="auto"/>
        <w:tabs>
          <w:tab w:leader="none" w:pos="10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Form of 2007 Plan Nonqualified Stock Option Grant Agreement between the Registrant and certain of its officers and employees (Incorporated by reference to Exhibit 10.10 to the Registrant’s Report on Form 10-K for the year ended December 31, 2008).</w:t>
      </w:r>
    </w:p>
    <w:p>
      <w:pPr>
        <w:spacing w:after="0" w:line="8" w:lineRule="exact"/>
        <w:rPr>
          <w:sz w:val="20"/>
          <w:szCs w:val="20"/>
          <w:color w:val="auto"/>
        </w:rPr>
      </w:pPr>
    </w:p>
    <w:p>
      <w:pPr>
        <w:ind w:left="1080" w:right="40" w:hanging="854"/>
        <w:spacing w:after="0" w:line="277" w:lineRule="auto"/>
        <w:tabs>
          <w:tab w:leader="none" w:pos="10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Form of 2007 Plan Nonqualified Stock Option Grant Agreement between the Registrant and certain of its directors (Incorporated by reference to Exhibit 10.11 to the Registrant’s Report on Form 10-K for the year ended December 31, 2008).</w:t>
      </w:r>
    </w:p>
    <w:p>
      <w:pPr>
        <w:spacing w:after="0" w:line="8" w:lineRule="exact"/>
        <w:rPr>
          <w:sz w:val="20"/>
          <w:szCs w:val="20"/>
          <w:color w:val="auto"/>
        </w:rPr>
      </w:pPr>
    </w:p>
    <w:p>
      <w:pPr>
        <w:ind w:left="1080" w:right="40" w:hanging="854"/>
        <w:spacing w:after="0" w:line="277" w:lineRule="auto"/>
        <w:tabs>
          <w:tab w:leader="none" w:pos="10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Form of 2007 Plan Nonqualified Stock Option Grant Agreement between the Registrant and Andrew C. Florance (Incorporated by reference to Exhibit 10.12 to the Registrant’s Report on Form 10-K for the year ended December 31, 2008).</w:t>
      </w:r>
    </w:p>
    <w:p>
      <w:pPr>
        <w:spacing w:after="0" w:line="8" w:lineRule="exact"/>
        <w:rPr>
          <w:sz w:val="20"/>
          <w:szCs w:val="20"/>
          <w:color w:val="auto"/>
        </w:rPr>
      </w:pPr>
    </w:p>
    <w:p>
      <w:pPr>
        <w:ind w:left="1080" w:right="40" w:hanging="854"/>
        <w:spacing w:after="0" w:line="277" w:lineRule="auto"/>
        <w:tabs>
          <w:tab w:leader="none" w:pos="10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Form of 2007 Plan French Sub-Plan Restricted Stock Agreement between the Registrant and certain of its employees (Incorporated by reference to Exhibit 10.10 to the Registrant’s Report on Form 10-K for the year ended December 31, 2007).</w:t>
      </w:r>
    </w:p>
    <w:p>
      <w:pPr>
        <w:spacing w:after="0" w:line="8" w:lineRule="exact"/>
        <w:rPr>
          <w:sz w:val="20"/>
          <w:szCs w:val="20"/>
          <w:color w:val="auto"/>
        </w:rPr>
      </w:pPr>
    </w:p>
    <w:p>
      <w:pPr>
        <w:ind w:left="1080" w:right="40" w:hanging="854"/>
        <w:spacing w:after="0" w:line="277" w:lineRule="auto"/>
        <w:tabs>
          <w:tab w:leader="none" w:pos="10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CoStar Group, Inc. 2011 Incentive Bonus Plan (Incorporated by referenced to Exhibit 99.1 to the Registrant’s Current Report on Form 8-K filed June 8, 2011).</w:t>
      </w:r>
    </w:p>
    <w:p>
      <w:pPr>
        <w:spacing w:after="0" w:line="8" w:lineRule="exact"/>
        <w:rPr>
          <w:sz w:val="20"/>
          <w:szCs w:val="20"/>
          <w:color w:val="auto"/>
        </w:rPr>
      </w:pPr>
    </w:p>
    <w:p>
      <w:pPr>
        <w:ind w:left="220"/>
        <w:spacing w:after="0"/>
        <w:tabs>
          <w:tab w:leader="none" w:pos="10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CoStar Group, Inc. Employee Stock Purchase Plan, as amended (Incorporated by reference to Exhibit 10.14 to the Registrant’s Report on Form</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10-K for the year ended December 31, 2010).</w:t>
      </w:r>
    </w:p>
    <w:p>
      <w:pPr>
        <w:spacing w:after="0" w:line="49" w:lineRule="exact"/>
        <w:rPr>
          <w:sz w:val="20"/>
          <w:szCs w:val="20"/>
          <w:color w:val="auto"/>
        </w:rPr>
      </w:pPr>
    </w:p>
    <w:p>
      <w:pPr>
        <w:ind w:left="1080" w:right="40" w:hanging="854"/>
        <w:spacing w:after="0" w:line="277" w:lineRule="auto"/>
        <w:tabs>
          <w:tab w:leader="none" w:pos="10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Summary of Non-Employee Director Compensation (Incorporated by reference to Exhibit 10.1 to the Registrant's Report on Form 10-Q for the quarter ended September 30, 2013).</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37"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3040"/>
              <w:spacing w:after="0"/>
              <w:rPr>
                <w:sz w:val="20"/>
                <w:szCs w:val="20"/>
                <w:color w:val="auto"/>
              </w:rPr>
            </w:pPr>
            <w:r>
              <w:rPr>
                <w:rFonts w:ascii="Arial" w:cs="Arial" w:eastAsia="Arial" w:hAnsi="Arial"/>
                <w:sz w:val="18"/>
                <w:szCs w:val="18"/>
                <w:b w:val="1"/>
                <w:bCs w:val="1"/>
                <w:color w:val="auto"/>
              </w:rPr>
              <w:t>INDEX TO EXHIBITS — (CONTINUED)</w:t>
            </w:r>
          </w:p>
        </w:tc>
      </w:tr>
      <w:tr>
        <w:trPr>
          <w:trHeight w:val="603"/>
        </w:trPr>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10380" w:type="dxa"/>
            <w:vAlign w:val="bottom"/>
          </w:tcPr>
          <w:p>
            <w:pPr>
              <w:spacing w:after="0"/>
              <w:rPr>
                <w:sz w:val="24"/>
                <w:szCs w:val="24"/>
                <w:color w:val="auto"/>
              </w:rPr>
            </w:pPr>
          </w:p>
        </w:tc>
      </w:tr>
      <w:tr>
        <w:trPr>
          <w:trHeight w:val="234"/>
        </w:trPr>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No.</w:t>
            </w:r>
          </w:p>
        </w:tc>
        <w:tc>
          <w:tcPr>
            <w:tcW w:w="10380" w:type="dxa"/>
            <w:vAlign w:val="bottom"/>
          </w:tcPr>
          <w:p>
            <w:pPr>
              <w:ind w:left="47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380" w:type="dxa"/>
            <w:vAlign w:val="bottom"/>
            <w:tcBorders>
              <w:bottom w:val="single" w:sz="8" w:color="auto"/>
            </w:tcBorders>
          </w:tcPr>
          <w:p>
            <w:pPr>
              <w:spacing w:after="0"/>
              <w:rPr>
                <w:sz w:val="2"/>
                <w:szCs w:val="2"/>
                <w:color w:val="auto"/>
              </w:rPr>
            </w:pPr>
          </w:p>
        </w:tc>
      </w:tr>
      <w:tr>
        <w:trPr>
          <w:trHeight w:val="222"/>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*10.18</w:t>
            </w: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Employment Agreement for Andrew C. Florance (Incorporated by reference to Exhibit 10.2 to Amendment No. 1 to the Registration</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Statement on Form S-1 of the Registrant (Reg. No. 333-47953) filed with the Commission on April 27, 1998).</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*10.19</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First Amendment to Andrew C. Florance Employment Agreement, effective January 1, 2009 (Incorporated by reference to Exhibit 10.16 to the</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Registrant’s Report on Form 10-K for the year ended December 31, 2008).</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*10.20</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Executive Service Contract dated February 16, 2007, between Property Investment Exchange Limited and Paul Marples (Incorporated by</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reference to Exhibit 10.14 to the Registrant’s Report on Form 10-K for the year ended December 31, 2007).</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*10.21</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Leaving Agreement dated February 27, 2013, between CoStar U.K. Limited and Paul Marples (Incorporated by reference to Exhibit 10.19 to</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the Registrant's Report on Form 10-K for the year ended December 31, 2012).</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*10.22</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Separation Agreement and General Release dated October 6, 2013, between CoStar Realty Information, Inc. and Jennifer Kitchen (filed</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herewith).</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Indemnification Agreement between the Registrant and each of its officers and directors (Incorporated by reference to Exhibit 10.1 to</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the Registrant’s Report on Form 10-Q for the quarter ended March 31, 2004).</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Agreement for Lease between CoStar UK Limited and Wells Fargo &amp; Company, dated August 25, 2009 (Incorporated by reference to Exhibit</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10.26 to the Registrant’s Report on Form 10-K for the year ended December 31, 2009).</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Sub-Underlease between CoStar UK Limited and Wells Fargo &amp; Company, dated November 18, 2009 (Incorporated by reference to Exhibit</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10.28 to the Registrant’s Report on Form 10-K for the year ended December 31, 2009).</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Deed of Office Lease by and between GLL L-Street 1331, LLC and CoStar Realty Information, Inc., dated February 18, 2011, and made</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effective as of June 1, 2010 (Incorporated by reference to Exhibit 10.1 to the Registrant’s Report on form 10-Q for the quarter ended March 31,</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2011).</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Credit Agreement dated February 16, 2012, by and among the Registrant, as Borrower, CoStar Realty Information, Inc., as Co-Borrower, the</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Lenders from time to time party thereto and JPMorgan Chase Bank, N.A., as Administrative Agent (Incorporated by reference to Exhibit 10.1</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the Registrant's Report on Form 10-Q for the quarter ended March 31, 2012).</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First Amendment dated as of April 25, 2012, to the Credit Agreement dated as of February 16, 2012, among the Registrant, CoStar Realty</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Information, Inc., the Lenders from time to time party thereto and JPMorgan Chase Bank N.A., as Administrative Agent (Incorporated by</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referenced to Exhibit 10.2 to the Registrant's Current Report on Form 8-K filed April 30, 2012).</w:t>
            </w:r>
          </w:p>
        </w:tc>
      </w:tr>
      <w:tr>
        <w:trPr>
          <w:trHeight w:val="270"/>
        </w:trPr>
        <w:tc>
          <w:tcPr>
            <w:tcW w:w="92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23"/>
                <w:szCs w:val="23"/>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Subsidiaries of the Registrant (filed herewith).</w:t>
            </w:r>
          </w:p>
        </w:tc>
      </w:tr>
      <w:tr>
        <w:trPr>
          <w:trHeight w:val="270"/>
        </w:trPr>
        <w:tc>
          <w:tcPr>
            <w:tcW w:w="92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20" w:type="dxa"/>
            <w:vAlign w:val="bottom"/>
          </w:tcPr>
          <w:p>
            <w:pPr>
              <w:spacing w:after="0"/>
              <w:rPr>
                <w:sz w:val="23"/>
                <w:szCs w:val="23"/>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Consent of Ernst &amp; Young LLP, Independent Registered Public Accounting Firm (filed herewith).</w:t>
            </w:r>
          </w:p>
        </w:tc>
      </w:tr>
      <w:tr>
        <w:trPr>
          <w:trHeight w:val="270"/>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3"/>
                <w:szCs w:val="23"/>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 (filed herewith).</w:t>
            </w:r>
          </w:p>
        </w:tc>
      </w:tr>
      <w:tr>
        <w:trPr>
          <w:trHeight w:val="270"/>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3"/>
                <w:szCs w:val="23"/>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 (filed herewith).</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Certification of Principal Executive Officer pursuant to 18 U.S.C. Sec. 1350, as adopted pursuant to Section 906 of the Sarbanes-Oxley Act of</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2002 (filed herewith).</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Certification of Principal Financial Officer pursuant to 18 U.S.C. Sec. 1350, as adopted pursuant to Section 906 of the Sarbanes-Oxley Act of</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2002 (filed herewith).</w:t>
            </w:r>
          </w:p>
        </w:tc>
      </w:tr>
    </w:tbl>
    <w:p>
      <w:pPr>
        <w:spacing w:after="0" w:line="40" w:lineRule="exact"/>
        <w:rPr>
          <w:sz w:val="20"/>
          <w:szCs w:val="20"/>
          <w:color w:val="auto"/>
        </w:rPr>
      </w:pPr>
    </w:p>
    <w:p>
      <w:pPr>
        <w:jc w:val="both"/>
        <w:ind w:left="1080" w:right="40" w:hanging="748"/>
        <w:spacing w:after="0" w:line="291" w:lineRule="auto"/>
        <w:tabs>
          <w:tab w:leader="none" w:pos="10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following materials from CoStar Group, Inc.’s Annual Report on Form 10-K for the year ended December 31, 2013, formatted in XBRL (eXtensible Business Reporting Language): (i) Consolidated Statement of Operations for the years ended December 31, 2011, 2012 and 2013, respectively; (ii) Consolidated Statements of Comprehensive Income for the years ended December 31, 2011, 2012 and 2013, respectively; (iii) Consolidated Balance Sheets at December 31, 2012 and December 31, 2013, respectively; (iv) Consolidated Statements of Stockholders’ Equity for the years ended December 31, 2011, 2012 and 2013, respectively; (v) Consolidated Statements of Cash Flows for the years ended December 31, 2011, 2012 and 2013, respectively; (vi) Notes to the Consolidated Financial Statements that have been detail tagged; and (vii) Schedule II – Valuation and Qualifying Accounts (submitted electronically with this report).</w:t>
      </w:r>
    </w:p>
    <w:p>
      <w:pPr>
        <w:spacing w:after="0" w:line="19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Management Contract or Compensatory Plan or Arrangement.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37" w:right="239" w:bottom="1440" w:gutter="0" w:footer="0" w:header="0"/>
        </w:sectPr>
      </w:pPr>
    </w:p>
    <w:bookmarkStart w:id="57" w:name="page58"/>
    <w:bookmarkEnd w:id="57"/>
    <w:p>
      <w:pPr>
        <w:jc w:val="center"/>
        <w:ind w:right="20"/>
        <w:spacing w:after="0"/>
        <w:rPr>
          <w:sz w:val="20"/>
          <w:szCs w:val="20"/>
          <w:color w:val="auto"/>
        </w:rPr>
      </w:pPr>
      <w:r>
        <w:rPr>
          <w:rFonts w:ascii="Arial" w:cs="Arial" w:eastAsia="Arial" w:hAnsi="Arial"/>
          <w:sz w:val="18"/>
          <w:szCs w:val="18"/>
          <w:b w:val="1"/>
          <w:bCs w:val="1"/>
          <w:color w:val="auto"/>
        </w:rPr>
        <w:t>COSTAR GROUP,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100" w:type="dxa"/>
            <w:vAlign w:val="bottom"/>
          </w:tcPr>
          <w:p>
            <w:pPr>
              <w:spacing w:after="0"/>
              <w:rPr>
                <w:sz w:val="20"/>
                <w:szCs w:val="20"/>
                <w:color w:val="auto"/>
              </w:rPr>
            </w:pPr>
            <w:r>
              <w:rPr>
                <w:rFonts w:ascii="Arial" w:cs="Arial" w:eastAsia="Arial" w:hAnsi="Arial"/>
                <w:sz w:val="18"/>
                <w:szCs w:val="18"/>
                <w:color w:val="auto"/>
              </w:rPr>
              <w:t>Reports of Independent Registered Public Accounting Firm</w:t>
            </w:r>
          </w:p>
        </w:tc>
        <w:tc>
          <w:tcPr>
            <w:tcW w:w="260" w:type="dxa"/>
            <w:vAlign w:val="bottom"/>
            <w:tcBorders>
              <w:bottom w:val="single" w:sz="8" w:color="0000FF"/>
            </w:tcBorders>
          </w:tcPr>
          <w:p>
            <w:pPr>
              <w:spacing w:after="0"/>
              <w:rPr>
                <w:rFonts w:ascii="Arial" w:cs="Arial" w:eastAsia="Arial" w:hAnsi="Arial"/>
                <w:sz w:val="18"/>
                <w:szCs w:val="18"/>
                <w:color w:val="0000FF"/>
                <w:w w:val="88"/>
              </w:rPr>
            </w:pPr>
            <w:hyperlink w:anchor="page58">
              <w:r>
                <w:rPr>
                  <w:rFonts w:ascii="Arial" w:cs="Arial" w:eastAsia="Arial" w:hAnsi="Arial"/>
                  <w:sz w:val="18"/>
                  <w:szCs w:val="18"/>
                  <w:color w:val="0000FF"/>
                  <w:w w:val="88"/>
                </w:rPr>
                <w:t>F-2</w:t>
              </w:r>
            </w:hyperlink>
          </w:p>
        </w:tc>
      </w:tr>
      <w:tr>
        <w:trPr>
          <w:trHeight w:val="250"/>
        </w:trPr>
        <w:tc>
          <w:tcPr>
            <w:tcW w:w="11100" w:type="dxa"/>
            <w:vAlign w:val="bottom"/>
          </w:tcPr>
          <w:p>
            <w:pPr>
              <w:spacing w:after="0"/>
              <w:rPr>
                <w:sz w:val="20"/>
                <w:szCs w:val="20"/>
                <w:color w:val="auto"/>
              </w:rPr>
            </w:pPr>
            <w:r>
              <w:rPr>
                <w:rFonts w:ascii="Arial" w:cs="Arial" w:eastAsia="Arial" w:hAnsi="Arial"/>
                <w:sz w:val="18"/>
                <w:szCs w:val="18"/>
                <w:color w:val="auto"/>
              </w:rPr>
              <w:t>Consolidated Statements of Operations for the years ended December 31, 2011, 2012 and 2013</w:t>
            </w:r>
          </w:p>
        </w:tc>
        <w:tc>
          <w:tcPr>
            <w:tcW w:w="260" w:type="dxa"/>
            <w:vAlign w:val="bottom"/>
            <w:tcBorders>
              <w:bottom w:val="single" w:sz="8" w:color="0000FF"/>
            </w:tcBorders>
          </w:tcPr>
          <w:p>
            <w:pPr>
              <w:spacing w:after="0"/>
              <w:rPr>
                <w:rFonts w:ascii="Arial" w:cs="Arial" w:eastAsia="Arial" w:hAnsi="Arial"/>
                <w:sz w:val="18"/>
                <w:szCs w:val="18"/>
                <w:color w:val="0000FF"/>
                <w:w w:val="88"/>
              </w:rPr>
            </w:pPr>
            <w:hyperlink w:anchor="page60">
              <w:r>
                <w:rPr>
                  <w:rFonts w:ascii="Arial" w:cs="Arial" w:eastAsia="Arial" w:hAnsi="Arial"/>
                  <w:sz w:val="18"/>
                  <w:szCs w:val="18"/>
                  <w:color w:val="0000FF"/>
                  <w:w w:val="88"/>
                </w:rPr>
                <w:t>F-4</w:t>
              </w:r>
            </w:hyperlink>
          </w:p>
        </w:tc>
      </w:tr>
      <w:tr>
        <w:trPr>
          <w:trHeight w:val="250"/>
        </w:trPr>
        <w:tc>
          <w:tcPr>
            <w:tcW w:w="11100" w:type="dxa"/>
            <w:vAlign w:val="bottom"/>
          </w:tcPr>
          <w:p>
            <w:pPr>
              <w:spacing w:after="0"/>
              <w:rPr>
                <w:sz w:val="20"/>
                <w:szCs w:val="20"/>
                <w:color w:val="auto"/>
              </w:rPr>
            </w:pPr>
            <w:r>
              <w:rPr>
                <w:rFonts w:ascii="Arial" w:cs="Arial" w:eastAsia="Arial" w:hAnsi="Arial"/>
                <w:sz w:val="18"/>
                <w:szCs w:val="18"/>
                <w:color w:val="auto"/>
              </w:rPr>
              <w:t>Consolidated Statements of Comprehensive Income for the years ended December 31, 2011, 2012 and 2013</w:t>
            </w:r>
          </w:p>
        </w:tc>
        <w:tc>
          <w:tcPr>
            <w:tcW w:w="260" w:type="dxa"/>
            <w:vAlign w:val="bottom"/>
            <w:tcBorders>
              <w:bottom w:val="single" w:sz="8" w:color="0000FF"/>
            </w:tcBorders>
          </w:tcPr>
          <w:p>
            <w:pPr>
              <w:spacing w:after="0"/>
              <w:rPr>
                <w:rFonts w:ascii="Arial" w:cs="Arial" w:eastAsia="Arial" w:hAnsi="Arial"/>
                <w:sz w:val="18"/>
                <w:szCs w:val="18"/>
                <w:color w:val="0000FF"/>
                <w:w w:val="88"/>
              </w:rPr>
            </w:pPr>
            <w:hyperlink w:anchor="page61">
              <w:r>
                <w:rPr>
                  <w:rFonts w:ascii="Arial" w:cs="Arial" w:eastAsia="Arial" w:hAnsi="Arial"/>
                  <w:sz w:val="18"/>
                  <w:szCs w:val="18"/>
                  <w:color w:val="0000FF"/>
                  <w:w w:val="88"/>
                </w:rPr>
                <w:t>F-5</w:t>
              </w:r>
            </w:hyperlink>
          </w:p>
        </w:tc>
      </w:tr>
      <w:tr>
        <w:trPr>
          <w:trHeight w:val="250"/>
        </w:trPr>
        <w:tc>
          <w:tcPr>
            <w:tcW w:w="11100" w:type="dxa"/>
            <w:vAlign w:val="bottom"/>
          </w:tcPr>
          <w:p>
            <w:pPr>
              <w:spacing w:after="0"/>
              <w:rPr>
                <w:sz w:val="20"/>
                <w:szCs w:val="20"/>
                <w:color w:val="auto"/>
              </w:rPr>
            </w:pPr>
            <w:r>
              <w:rPr>
                <w:rFonts w:ascii="Arial" w:cs="Arial" w:eastAsia="Arial" w:hAnsi="Arial"/>
                <w:sz w:val="18"/>
                <w:szCs w:val="18"/>
                <w:color w:val="auto"/>
              </w:rPr>
              <w:t>Consolidated Balance Sheets as of December 31, 2012 and 2013</w:t>
            </w:r>
          </w:p>
        </w:tc>
        <w:tc>
          <w:tcPr>
            <w:tcW w:w="260" w:type="dxa"/>
            <w:vAlign w:val="bottom"/>
            <w:tcBorders>
              <w:bottom w:val="single" w:sz="8" w:color="0000FF"/>
            </w:tcBorders>
          </w:tcPr>
          <w:p>
            <w:pPr>
              <w:spacing w:after="0"/>
              <w:rPr>
                <w:rFonts w:ascii="Arial" w:cs="Arial" w:eastAsia="Arial" w:hAnsi="Arial"/>
                <w:sz w:val="18"/>
                <w:szCs w:val="18"/>
                <w:color w:val="0000FF"/>
                <w:w w:val="88"/>
              </w:rPr>
            </w:pPr>
            <w:hyperlink w:anchor="page62">
              <w:r>
                <w:rPr>
                  <w:rFonts w:ascii="Arial" w:cs="Arial" w:eastAsia="Arial" w:hAnsi="Arial"/>
                  <w:sz w:val="18"/>
                  <w:szCs w:val="18"/>
                  <w:color w:val="0000FF"/>
                  <w:w w:val="88"/>
                </w:rPr>
                <w:t>F-6</w:t>
              </w:r>
            </w:hyperlink>
          </w:p>
        </w:tc>
      </w:tr>
      <w:tr>
        <w:trPr>
          <w:trHeight w:val="250"/>
        </w:trPr>
        <w:tc>
          <w:tcPr>
            <w:tcW w:w="11100" w:type="dxa"/>
            <w:vAlign w:val="bottom"/>
          </w:tcPr>
          <w:p>
            <w:pPr>
              <w:spacing w:after="0"/>
              <w:rPr>
                <w:sz w:val="20"/>
                <w:szCs w:val="20"/>
                <w:color w:val="auto"/>
              </w:rPr>
            </w:pPr>
            <w:r>
              <w:rPr>
                <w:rFonts w:ascii="Arial" w:cs="Arial" w:eastAsia="Arial" w:hAnsi="Arial"/>
                <w:sz w:val="18"/>
                <w:szCs w:val="18"/>
                <w:color w:val="auto"/>
              </w:rPr>
              <w:t>Consolidated Statements of Stockholders’ Equity for the years ended December 31, 2011, 2012 and 2013</w:t>
            </w:r>
          </w:p>
        </w:tc>
        <w:tc>
          <w:tcPr>
            <w:tcW w:w="260" w:type="dxa"/>
            <w:vAlign w:val="bottom"/>
            <w:tcBorders>
              <w:bottom w:val="single" w:sz="8" w:color="0000FF"/>
            </w:tcBorders>
          </w:tcPr>
          <w:p>
            <w:pPr>
              <w:spacing w:after="0"/>
              <w:rPr>
                <w:rFonts w:ascii="Arial" w:cs="Arial" w:eastAsia="Arial" w:hAnsi="Arial"/>
                <w:sz w:val="18"/>
                <w:szCs w:val="18"/>
                <w:color w:val="0000FF"/>
                <w:w w:val="88"/>
              </w:rPr>
            </w:pPr>
            <w:hyperlink w:anchor="page63">
              <w:r>
                <w:rPr>
                  <w:rFonts w:ascii="Arial" w:cs="Arial" w:eastAsia="Arial" w:hAnsi="Arial"/>
                  <w:sz w:val="18"/>
                  <w:szCs w:val="18"/>
                  <w:color w:val="0000FF"/>
                  <w:w w:val="88"/>
                </w:rPr>
                <w:t>F-7</w:t>
              </w:r>
            </w:hyperlink>
          </w:p>
        </w:tc>
      </w:tr>
      <w:tr>
        <w:trPr>
          <w:trHeight w:val="250"/>
        </w:trPr>
        <w:tc>
          <w:tcPr>
            <w:tcW w:w="1110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 December 31, 2011, 2012 and 2013</w:t>
            </w:r>
          </w:p>
        </w:tc>
        <w:tc>
          <w:tcPr>
            <w:tcW w:w="260" w:type="dxa"/>
            <w:vAlign w:val="bottom"/>
            <w:tcBorders>
              <w:bottom w:val="single" w:sz="8" w:color="0000FF"/>
            </w:tcBorders>
          </w:tcPr>
          <w:p>
            <w:pPr>
              <w:spacing w:after="0"/>
              <w:rPr>
                <w:rFonts w:ascii="Arial" w:cs="Arial" w:eastAsia="Arial" w:hAnsi="Arial"/>
                <w:sz w:val="18"/>
                <w:szCs w:val="18"/>
                <w:color w:val="0000FF"/>
                <w:w w:val="88"/>
              </w:rPr>
            </w:pPr>
            <w:hyperlink w:anchor="page64">
              <w:r>
                <w:rPr>
                  <w:rFonts w:ascii="Arial" w:cs="Arial" w:eastAsia="Arial" w:hAnsi="Arial"/>
                  <w:sz w:val="18"/>
                  <w:szCs w:val="18"/>
                  <w:color w:val="0000FF"/>
                  <w:w w:val="88"/>
                </w:rPr>
                <w:t>F-8</w:t>
              </w:r>
            </w:hyperlink>
          </w:p>
        </w:tc>
      </w:tr>
      <w:tr>
        <w:trPr>
          <w:trHeight w:val="250"/>
        </w:trPr>
        <w:tc>
          <w:tcPr>
            <w:tcW w:w="1110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260" w:type="dxa"/>
            <w:vAlign w:val="bottom"/>
            <w:tcBorders>
              <w:bottom w:val="single" w:sz="8" w:color="0000FF"/>
            </w:tcBorders>
          </w:tcPr>
          <w:p>
            <w:pPr>
              <w:spacing w:after="0"/>
              <w:rPr>
                <w:rFonts w:ascii="Arial" w:cs="Arial" w:eastAsia="Arial" w:hAnsi="Arial"/>
                <w:sz w:val="18"/>
                <w:szCs w:val="18"/>
                <w:color w:val="0000FF"/>
                <w:w w:val="88"/>
              </w:rPr>
            </w:pPr>
            <w:hyperlink w:anchor="page65">
              <w:r>
                <w:rPr>
                  <w:rFonts w:ascii="Arial" w:cs="Arial" w:eastAsia="Arial" w:hAnsi="Arial"/>
                  <w:sz w:val="18"/>
                  <w:szCs w:val="18"/>
                  <w:color w:val="0000FF"/>
                  <w:w w:val="88"/>
                </w:rPr>
                <w:t>F-9</w:t>
              </w:r>
            </w:hyperlink>
          </w:p>
        </w:tc>
      </w:tr>
      <w:tr>
        <w:trPr>
          <w:trHeight w:val="507"/>
        </w:trPr>
        <w:tc>
          <w:tcPr>
            <w:tcW w:w="11100" w:type="dxa"/>
            <w:vAlign w:val="bottom"/>
          </w:tcPr>
          <w:p>
            <w:pPr>
              <w:ind w:left="5540"/>
              <w:spacing w:after="0"/>
              <w:rPr>
                <w:sz w:val="20"/>
                <w:szCs w:val="20"/>
                <w:color w:val="auto"/>
              </w:rPr>
            </w:pPr>
            <w:r>
              <w:rPr>
                <w:rFonts w:ascii="Arial" w:cs="Arial" w:eastAsia="Arial" w:hAnsi="Arial"/>
                <w:sz w:val="18"/>
                <w:szCs w:val="18"/>
                <w:color w:val="auto"/>
              </w:rPr>
              <w:t>F-1</w:t>
            </w:r>
          </w:p>
        </w:tc>
        <w:tc>
          <w:tcPr>
            <w:tcW w:w="260" w:type="dxa"/>
            <w:vAlign w:val="bottom"/>
          </w:tcPr>
          <w:p>
            <w:pPr>
              <w:spacing w:after="0"/>
              <w:rPr>
                <w:sz w:val="24"/>
                <w:szCs w:val="24"/>
                <w:color w:val="auto"/>
              </w:rPr>
            </w:pPr>
          </w:p>
        </w:tc>
      </w:tr>
    </w:tbl>
    <w:p>
      <w:pPr>
        <w:sectPr>
          <w:pgSz w:w="11900" w:h="16838" w:orient="portrait"/>
          <w:cols w:equalWidth="0" w:num="1">
            <w:col w:w="11360"/>
          </w:cols>
          <w:pgMar w:left="280" w:top="580" w:right="259" w:bottom="1440" w:gutter="0" w:footer="0" w:header="0"/>
        </w:sectPr>
      </w:pPr>
    </w:p>
    <w:bookmarkStart w:id="58" w:name="page59"/>
    <w:bookmarkEnd w:id="58"/>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CoStar Group, Inc.</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have audited the accompanying consolidated balance sheets of CoStar Group, Inc. as of December 31, 2013 and 2012, and the related consolidated statements of operations, comprehensive income, stockholders' equity and cash flows for each of the three years in the period ended December 31, 2013. Our audits also included the financial statement schedule listed in the Index at Item 15(a).These financial statements and schedule are the responsibility of the Company's management. Our responsibility is to express an opinion on these financial statements and schedule based on our audits.</w:t>
      </w:r>
    </w:p>
    <w:p>
      <w:pPr>
        <w:spacing w:after="0" w:line="15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CoStar Group, Inc. at December 31, 2013 and 2012, and the consolidated results of its operations and its cash flows for each of the three years in the period ended December 31, 2013,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CoStar Group, Inc.'s internal control over financial reporting as of December 31, 2013, based on criteria established in Internal Control-Integrated Framework issued by the Committee of Sponsoring Organizations of the Treadway Commission (1992 framework) and our report dated February 20, 2014 expressed an unqualified opinion thereon.</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580" w:right="239" w:bottom="1440" w:gutter="0" w:footer="0" w:header="0"/>
        </w:sectPr>
      </w:pPr>
    </w:p>
    <w:bookmarkStart w:id="59" w:name="page60"/>
    <w:bookmarkEnd w:id="59"/>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CoStar Group, Inc.</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have audited CoStar Group, Inc.’s internal control over financial reporting as of December 31, 2013, based on criteria established in Internal Control-Integrated Framework issued by the Committee of Sponsoring Organizations of the Treadway Commission (1992 framework) (the COSO criteria). CoStar Group,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our opinion, CoStar Group, Inc. maintained, in all material respects, effective internal control over financial reporting as of December 31, 2013, based on the COSO criteria.</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CoStar Group, Inc. as of December 31, 2013 and 2012, and the related consolidated statements of operations, comprehensive income, stockholders' equity and cash flows for each of the three years in the period ended December 31, 2013 and our report dated February 20, 2014 expressed an unqualified opinion thereon.</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2014</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580" w:right="2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251,738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349,936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440,943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88,167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114,866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129,185</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163,571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235,070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311,758</w:t>
            </w:r>
          </w:p>
        </w:tc>
      </w:tr>
      <w:tr>
        <w:trPr>
          <w:trHeight w:val="297"/>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61,164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84,113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98,708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Software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46,757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58,362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77,154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96,956</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15,183</w:t>
            </w:r>
          </w:p>
        </w:tc>
      </w:tr>
      <w:tr>
        <w:trPr>
          <w:trHeight w:val="237"/>
        </w:trPr>
        <w:tc>
          <w:tcPr>
            <w:tcW w:w="67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141,800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207,630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257,604</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21,771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27,440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54,154</w:t>
            </w:r>
          </w:p>
        </w:tc>
      </w:tr>
      <w:tr>
        <w:trPr>
          <w:trHeight w:val="27"/>
        </w:trPr>
        <w:tc>
          <w:tcPr>
            <w:tcW w:w="67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00"/>
          </w:cols>
          <w:pgMar w:left="240" w:top="121" w:right="259" w:bottom="1440" w:gutter="0" w:footer="0" w:header="0"/>
        </w:sectPr>
      </w:pPr>
    </w:p>
    <w:p>
      <w:pPr>
        <w:ind w:left="40"/>
        <w:spacing w:after="0"/>
        <w:rPr>
          <w:sz w:val="20"/>
          <w:szCs w:val="20"/>
          <w:color w:val="auto"/>
        </w:rPr>
      </w:pPr>
      <w:r>
        <w:rPr>
          <w:rFonts w:ascii="Arial" w:cs="Arial" w:eastAsia="Arial" w:hAnsi="Arial"/>
          <w:sz w:val="18"/>
          <w:szCs w:val="18"/>
          <w:color w:val="auto"/>
        </w:rPr>
        <w:t>Interest and other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and other expense</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income taxes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 expense, net</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Net income per share — basic</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per share — diluted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326</w:t>
            </w:r>
          </w:p>
        </w:tc>
      </w:tr>
      <w:tr>
        <w:trPr>
          <w:trHeight w:val="270"/>
        </w:trPr>
        <w:tc>
          <w:tcPr>
            <w:tcW w:w="50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(4,832)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(6,943)</w:t>
            </w:r>
          </w:p>
        </w:tc>
      </w:tr>
      <w:tr>
        <w:trPr>
          <w:trHeight w:val="27"/>
        </w:trPr>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22,569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23,134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47,537</w:t>
            </w:r>
          </w:p>
        </w:tc>
      </w:tr>
      <w:tr>
        <w:trPr>
          <w:trHeight w:val="270"/>
        </w:trPr>
        <w:tc>
          <w:tcPr>
            <w:tcW w:w="50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7,913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13,219</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17,803</w:t>
            </w:r>
          </w:p>
        </w:tc>
      </w:tr>
      <w:tr>
        <w:trPr>
          <w:trHeight w:val="27"/>
        </w:trPr>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14,656</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9,915</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29,734</w:t>
            </w:r>
          </w:p>
        </w:tc>
      </w:tr>
      <w:tr>
        <w:trPr>
          <w:trHeight w:val="27"/>
        </w:trPr>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21"/>
        </w:trPr>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1.07</w:t>
            </w:r>
          </w:p>
        </w:tc>
      </w:tr>
      <w:tr>
        <w:trPr>
          <w:trHeight w:val="27"/>
        </w:trPr>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4"/>
        </w:trPr>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1.05</w:t>
            </w:r>
          </w:p>
        </w:tc>
      </w:tr>
      <w:tr>
        <w:trPr>
          <w:trHeight w:val="27"/>
        </w:trPr>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-1311275</wp:posOffset>
            </wp:positionV>
            <wp:extent cx="722947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-960120</wp:posOffset>
            </wp:positionV>
            <wp:extent cx="72294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-599440</wp:posOffset>
            </wp:positionV>
            <wp:extent cx="7229475" cy="205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20574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-213995</wp:posOffset>
            </wp:positionV>
            <wp:extent cx="7229475" cy="197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60"/>
          </w:cols>
          <w:pgMar w:left="240" w:top="121" w:right="259" w:bottom="1440" w:gutter="0" w:footer="0" w:header="0"/>
          <w:type w:val="continuous"/>
        </w:sectPr>
      </w:pP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outstanding shares — basic</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23,131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26,533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27,670</w:t>
            </w: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51"/>
        </w:trPr>
        <w:tc>
          <w:tcPr>
            <w:tcW w:w="6740" w:type="dxa"/>
            <w:vAlign w:val="bottom"/>
          </w:tcPr>
          <w:p>
            <w:pPr>
              <w:ind w:left="40"/>
              <w:spacing w:after="0"/>
              <w:rPr>
                <w:sz w:val="20"/>
                <w:szCs w:val="20"/>
                <w:color w:val="auto"/>
              </w:rPr>
            </w:pPr>
            <w:r>
              <w:rPr>
                <w:rFonts w:ascii="Arial" w:cs="Arial" w:eastAsia="Arial" w:hAnsi="Arial"/>
                <w:sz w:val="18"/>
                <w:szCs w:val="18"/>
                <w:color w:val="auto"/>
              </w:rPr>
              <w:t>Weighted average outstanding shares — diluted</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23,527</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26,949</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28,212</w:t>
            </w: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121" w:right="259" w:bottom="144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29,734</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Net decrease in unrealized loss on investments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378</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w:t>
            </w:r>
          </w:p>
        </w:tc>
      </w:tr>
      <w:tr>
        <w:trPr>
          <w:trHeight w:val="257"/>
        </w:trPr>
        <w:tc>
          <w:tcPr>
            <w:tcW w:w="708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14,794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11,965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30,722</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380"/>
          </w:cols>
          <w:pgMar w:left="260" w:top="121" w:right="25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2013</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vMerge w:val="restart"/>
          </w:tcPr>
          <w:p>
            <w:pPr>
              <w:jc w:val="center"/>
              <w:ind w:right="2370"/>
              <w:spacing w:after="0"/>
              <w:rPr>
                <w:sz w:val="20"/>
                <w:szCs w:val="20"/>
                <w:color w:val="auto"/>
              </w:rPr>
            </w:pPr>
            <w:r>
              <w:rPr>
                <w:rFonts w:ascii="Arial" w:cs="Arial" w:eastAsia="Arial" w:hAnsi="Arial"/>
                <w:sz w:val="18"/>
                <w:szCs w:val="18"/>
                <w:b w:val="1"/>
                <w:bCs w:val="1"/>
                <w:color w:val="auto"/>
                <w:w w:val="91"/>
              </w:rPr>
              <w:t>ASSETS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8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156,027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255,953</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shd w:val="clear" w:color="auto" w:fill="CCEEFF"/>
              </w:rPr>
              <w:t>Accounts receivable, less allowance for doubtful accounts of approximately $2,935 and $3,397 as of December</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8"/>
                <w:shd w:val="clear" w:color="auto" w:fill="CCEEFF"/>
              </w:rPr>
              <w:t>31, 2012 and 2013, respectively</w:t>
            </w:r>
          </w:p>
        </w:tc>
        <w:tc>
          <w:tcPr>
            <w:tcW w:w="58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16,392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20,761</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Deferred income taxes,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9,256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22,506</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9,560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6,597</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Debt issuance costs,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199,563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308,466</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58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Long-term investments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21,662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21,990</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46,308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57,719</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718,078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718,587</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Intangibles and other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170,632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144,472</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Deposits and other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2,274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Debt issuance costs,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3,893</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1,165,139</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1,256,982</w:t>
            </w:r>
          </w:p>
        </w:tc>
        <w:tc>
          <w:tcPr>
            <w:tcW w:w="0" w:type="dxa"/>
            <w:vAlign w:val="bottom"/>
          </w:tcPr>
          <w:p>
            <w:pPr>
              <w:spacing w:after="0"/>
              <w:rPr>
                <w:sz w:val="1"/>
                <w:szCs w:val="1"/>
                <w:color w:val="auto"/>
              </w:rPr>
            </w:pPr>
          </w:p>
        </w:tc>
      </w:tr>
      <w:tr>
        <w:trPr>
          <w:trHeight w:val="237"/>
        </w:trPr>
        <w:tc>
          <w:tcPr>
            <w:tcW w:w="180" w:type="dxa"/>
            <w:vAlign w:val="bottom"/>
            <w:tcBorders>
              <w:bottom w:val="single" w:sz="8" w:color="CCEEFF"/>
            </w:tcBorders>
            <w:shd w:val="clear" w:color="auto" w:fill="CCEEFF"/>
          </w:tcPr>
          <w:p>
            <w:pPr>
              <w:spacing w:after="0"/>
              <w:rPr>
                <w:sz w:val="20"/>
                <w:szCs w:val="20"/>
                <w:color w:val="auto"/>
              </w:rPr>
            </w:pPr>
          </w:p>
        </w:tc>
        <w:tc>
          <w:tcPr>
            <w:tcW w:w="8160" w:type="dxa"/>
            <w:vAlign w:val="bottom"/>
            <w:tcBorders>
              <w:bottom w:val="single" w:sz="8" w:color="CCEEFF"/>
            </w:tcBorders>
            <w:gridSpan w:val="2"/>
            <w:shd w:val="clear" w:color="auto" w:fill="CCEEFF"/>
          </w:tcPr>
          <w:p>
            <w:pPr>
              <w:jc w:val="center"/>
              <w:ind w:right="7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24,063</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6,234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4,939</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wages and commissions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23,831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20,104</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19,002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23,200</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gain on the sale of building</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32,548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34,362</w:t>
            </w:r>
          </w:p>
        </w:tc>
        <w:tc>
          <w:tcPr>
            <w:tcW w:w="0" w:type="dxa"/>
            <w:vAlign w:val="bottom"/>
          </w:tcPr>
          <w:p>
            <w:pPr>
              <w:spacing w:after="0"/>
              <w:rPr>
                <w:sz w:val="1"/>
                <w:szCs w:val="1"/>
                <w:color w:val="auto"/>
              </w:rPr>
            </w:pP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101,638</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111,553</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8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58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Long-term debt, less current portion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153,125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129,062</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gain on the sale of building</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28,809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26,286</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Deferred rent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17,305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22,828</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34,071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34,582</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2,818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4,809</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338,796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329,120</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8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58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Commitments and contingencies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8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58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Preferred stock, $0.01 par value; 2,000 shares authorized; none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4"/>
              </w:rPr>
              <w:t>Common stock, $0.01 par value; 60,000 shares authorized; 28,348 and 28,848 issued and outstanding as of</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December 31, 2012 and 2013, respectively</w:t>
            </w:r>
          </w:p>
        </w:tc>
        <w:tc>
          <w:tcPr>
            <w:tcW w:w="3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792,988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863,780</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(6,518)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(5,530)</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39,590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69,324</w:t>
            </w:r>
          </w:p>
        </w:tc>
        <w:tc>
          <w:tcPr>
            <w:tcW w:w="0" w:type="dxa"/>
            <w:vAlign w:val="bottom"/>
          </w:tcPr>
          <w:p>
            <w:pPr>
              <w:spacing w:after="0"/>
              <w:rPr>
                <w:sz w:val="1"/>
                <w:szCs w:val="1"/>
                <w:color w:val="auto"/>
              </w:rPr>
            </w:pP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826,343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927,862</w:t>
            </w:r>
          </w:p>
        </w:tc>
        <w:tc>
          <w:tcPr>
            <w:tcW w:w="0" w:type="dxa"/>
            <w:vAlign w:val="bottom"/>
          </w:tcPr>
          <w:p>
            <w:pPr>
              <w:spacing w:after="0"/>
              <w:rPr>
                <w:sz w:val="1"/>
                <w:szCs w:val="1"/>
                <w:color w:val="auto"/>
              </w:rPr>
            </w:pPr>
          </w:p>
        </w:tc>
      </w:tr>
      <w:tr>
        <w:trPr>
          <w:trHeight w:val="27"/>
        </w:trPr>
        <w:tc>
          <w:tcPr>
            <w:tcW w:w="18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1,165,139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1,256,982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21" w:right="239" w:bottom="788" w:gutter="0" w:footer="0" w:header="0"/>
        </w:sectPr>
      </w:pPr>
    </w:p>
    <w:bookmarkStart w:id="63" w:name="page64"/>
    <w:bookmarkEnd w:id="63"/>
    <w:p>
      <w:pPr>
        <w:jc w:val="center"/>
        <w:ind w:right="20"/>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3740" w:type="dxa"/>
        <w:tblCellMar>
          <w:top w:w="0" w:type="dxa"/>
          <w:left w:w="0" w:type="dxa"/>
          <w:bottom w:w="0" w:type="dxa"/>
          <w:right w:w="0" w:type="dxa"/>
        </w:tblCellMar>
      </w:tblPr>
      <w:tr>
        <w:trPr>
          <w:trHeight w:val="216"/>
        </w:trPr>
        <w:tc>
          <w:tcPr>
            <w:tcW w:w="188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Common Stock</w:t>
            </w:r>
          </w:p>
        </w:tc>
        <w:tc>
          <w:tcPr>
            <w:tcW w:w="1280" w:type="dxa"/>
            <w:vAlign w:val="bottom"/>
          </w:tcPr>
          <w:p>
            <w:pPr>
              <w:spacing w:after="0"/>
              <w:rPr>
                <w:sz w:val="18"/>
                <w:szCs w:val="18"/>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Accumulated</w:t>
            </w:r>
          </w:p>
        </w:tc>
        <w:tc>
          <w:tcPr>
            <w:tcW w:w="1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880" w:type="dxa"/>
            <w:vAlign w:val="bottom"/>
            <w:tcBorders>
              <w:bottom w:val="single" w:sz="8" w:color="auto"/>
            </w:tcBorders>
            <w:gridSpan w:val="2"/>
            <w:vMerge w:val="continue"/>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Other</w:t>
            </w:r>
          </w:p>
        </w:tc>
        <w:tc>
          <w:tcPr>
            <w:tcW w:w="1300" w:type="dxa"/>
            <w:vAlign w:val="bottom"/>
          </w:tcPr>
          <w:p>
            <w:pPr>
              <w:spacing w:after="0"/>
              <w:rPr>
                <w:sz w:val="19"/>
                <w:szCs w:val="19"/>
                <w:color w:val="auto"/>
              </w:rPr>
            </w:pPr>
          </w:p>
        </w:tc>
        <w:tc>
          <w:tcPr>
            <w:tcW w:w="134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91"/>
        </w:trPr>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6"/>
              </w:rPr>
              <w:t>Paid-In</w:t>
            </w:r>
          </w:p>
        </w:tc>
        <w:tc>
          <w:tcPr>
            <w:tcW w:w="16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Comprehensive</w:t>
            </w:r>
          </w:p>
        </w:tc>
        <w:tc>
          <w:tcPr>
            <w:tcW w:w="1300" w:type="dxa"/>
            <w:vAlign w:val="bottom"/>
          </w:tcPr>
          <w:p>
            <w:pPr>
              <w:ind w:left="300"/>
              <w:spacing w:after="0" w:line="191" w:lineRule="exact"/>
              <w:rPr>
                <w:sz w:val="20"/>
                <w:szCs w:val="20"/>
                <w:color w:val="auto"/>
              </w:rPr>
            </w:pPr>
            <w:r>
              <w:rPr>
                <w:rFonts w:ascii="Arial" w:cs="Arial" w:eastAsia="Arial" w:hAnsi="Arial"/>
                <w:sz w:val="18"/>
                <w:szCs w:val="18"/>
                <w:b w:val="1"/>
                <w:bCs w:val="1"/>
                <w:color w:val="auto"/>
              </w:rPr>
              <w:t>Retained</w:t>
            </w:r>
          </w:p>
        </w:tc>
        <w:tc>
          <w:tcPr>
            <w:tcW w:w="1340" w:type="dxa"/>
            <w:vAlign w:val="bottom"/>
          </w:tcPr>
          <w:p>
            <w:pPr>
              <w:jc w:val="center"/>
              <w:ind w:left="190"/>
              <w:spacing w:after="0" w:line="191" w:lineRule="exact"/>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4"/>
        </w:trPr>
        <w:tc>
          <w:tcPr>
            <w:tcW w:w="880" w:type="dxa"/>
            <w:vAlign w:val="bottom"/>
          </w:tcPr>
          <w:p>
            <w:pPr>
              <w:ind w:left="140"/>
              <w:spacing w:after="0"/>
              <w:rPr>
                <w:sz w:val="20"/>
                <w:szCs w:val="20"/>
                <w:color w:val="auto"/>
              </w:rPr>
            </w:pPr>
            <w:r>
              <w:rPr>
                <w:rFonts w:ascii="Arial" w:cs="Arial" w:eastAsia="Arial" w:hAnsi="Arial"/>
                <w:sz w:val="18"/>
                <w:szCs w:val="18"/>
                <w:b w:val="1"/>
                <w:bCs w:val="1"/>
                <w:color w:val="auto"/>
              </w:rPr>
              <w:t>Shares</w:t>
            </w:r>
          </w:p>
        </w:tc>
        <w:tc>
          <w:tcPr>
            <w:tcW w:w="1000" w:type="dxa"/>
            <w:vAlign w:val="bottom"/>
          </w:tcPr>
          <w:p>
            <w:pPr>
              <w:ind w:left="200"/>
              <w:spacing w:after="0"/>
              <w:rPr>
                <w:sz w:val="20"/>
                <w:szCs w:val="20"/>
                <w:color w:val="auto"/>
              </w:rPr>
            </w:pPr>
            <w:r>
              <w:rPr>
                <w:rFonts w:ascii="Arial" w:cs="Arial" w:eastAsia="Arial" w:hAnsi="Arial"/>
                <w:sz w:val="18"/>
                <w:szCs w:val="18"/>
                <w:b w:val="1"/>
                <w:bCs w:val="1"/>
                <w:color w:val="auto"/>
              </w:rPr>
              <w:t>Amount</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6"/>
              </w:rPr>
              <w:t>Capital</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1300" w:type="dxa"/>
            <w:vAlign w:val="bottom"/>
          </w:tcPr>
          <w:p>
            <w:pPr>
              <w:ind w:left="300"/>
              <w:spacing w:after="0"/>
              <w:rPr>
                <w:sz w:val="20"/>
                <w:szCs w:val="20"/>
                <w:color w:val="auto"/>
              </w:rPr>
            </w:pPr>
            <w:r>
              <w:rPr>
                <w:rFonts w:ascii="Arial" w:cs="Arial" w:eastAsia="Arial" w:hAnsi="Arial"/>
                <w:sz w:val="18"/>
                <w:szCs w:val="18"/>
                <w:b w:val="1"/>
                <w:bCs w:val="1"/>
                <w:color w:val="auto"/>
              </w:rPr>
              <w:t>Earnings</w:t>
            </w:r>
          </w:p>
        </w:tc>
        <w:tc>
          <w:tcPr>
            <w:tcW w:w="134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380"/>
          </w:cols>
          <w:pgMar w:left="280" w:top="121" w:right="239" w:bottom="1440" w:gutter="0" w:footer="0" w:header="0"/>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Balance at December 31, 2010</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20,773</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208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w w:val="94"/>
              </w:rPr>
              <w:t>Net decrease in unrealized loss on investments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Exercise of stock options</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Restricted stock grants</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Restricted stock grants surrendered</w:t>
            </w:r>
          </w:p>
        </w:tc>
        <w:tc>
          <w:tcPr>
            <w:tcW w:w="80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w w:val="95"/>
              </w:rPr>
              <w:t>Stock compensation expense, net of forfeitures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Stock issued for equity offering</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4,313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Employee stock purchase plan</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56"/>
        </w:trPr>
        <w:tc>
          <w:tcPr>
            <w:tcW w:w="3740" w:type="dxa"/>
            <w:vAlign w:val="bottom"/>
          </w:tcPr>
          <w:p>
            <w:pPr>
              <w:ind w:left="140"/>
              <w:spacing w:after="0"/>
              <w:rPr>
                <w:sz w:val="20"/>
                <w:szCs w:val="20"/>
                <w:color w:val="auto"/>
              </w:rPr>
            </w:pPr>
            <w:r>
              <w:rPr>
                <w:rFonts w:ascii="Arial" w:cs="Arial" w:eastAsia="Arial" w:hAnsi="Arial"/>
                <w:sz w:val="18"/>
                <w:szCs w:val="18"/>
                <w:color w:val="auto"/>
              </w:rPr>
              <w:t>Excess tax benefit from stock-based</w:t>
            </w: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30"/>
        </w:trPr>
        <w:tc>
          <w:tcPr>
            <w:tcW w:w="3740" w:type="dxa"/>
            <w:vAlign w:val="bottom"/>
          </w:tcPr>
          <w:p>
            <w:pPr>
              <w:ind w:left="300"/>
              <w:spacing w:after="0"/>
              <w:rPr>
                <w:sz w:val="20"/>
                <w:szCs w:val="20"/>
                <w:color w:val="auto"/>
              </w:rPr>
            </w:pPr>
            <w:r>
              <w:rPr>
                <w:rFonts w:ascii="Arial" w:cs="Arial" w:eastAsia="Arial" w:hAnsi="Arial"/>
                <w:sz w:val="18"/>
                <w:szCs w:val="18"/>
                <w:color w:val="auto"/>
              </w:rPr>
              <w:t>compensation</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r>
      <w:tr>
        <w:trPr>
          <w:trHeight w:val="27"/>
        </w:trPr>
        <w:tc>
          <w:tcPr>
            <w:tcW w:w="37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3740" w:type="dxa"/>
            <w:vAlign w:val="bottom"/>
          </w:tcPr>
          <w:p>
            <w:pPr>
              <w:spacing w:after="0"/>
              <w:rPr>
                <w:sz w:val="20"/>
                <w:szCs w:val="20"/>
                <w:color w:val="auto"/>
              </w:rPr>
            </w:pPr>
            <w:r>
              <w:rPr>
                <w:rFonts w:ascii="Arial" w:cs="Arial" w:eastAsia="Arial" w:hAnsi="Arial"/>
                <w:sz w:val="18"/>
                <w:szCs w:val="18"/>
                <w:color w:val="auto"/>
              </w:rPr>
              <w:t>Balance at December 31, 2011</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25,426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20"/>
                <w:szCs w:val="20"/>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w w:val="94"/>
              </w:rPr>
              <w:t>Net decrease in unrealized loss on investments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Exercise of stock options</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Restricted stock grants</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Restricted stock grants surrendered</w:t>
            </w:r>
          </w:p>
        </w:tc>
        <w:tc>
          <w:tcPr>
            <w:tcW w:w="80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w w:val="95"/>
              </w:rPr>
              <w:t>Stock compensation expense, net of forfeitures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Employee stock purchase plan</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Consideration for LoopNet, Inc.</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1,880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3"/>
                <w:szCs w:val="23"/>
                <w:color w:val="auto"/>
              </w:rPr>
            </w:pPr>
          </w:p>
        </w:tc>
      </w:tr>
      <w:tr>
        <w:trPr>
          <w:trHeight w:val="256"/>
        </w:trPr>
        <w:tc>
          <w:tcPr>
            <w:tcW w:w="3740" w:type="dxa"/>
            <w:vAlign w:val="bottom"/>
          </w:tcPr>
          <w:p>
            <w:pPr>
              <w:ind w:left="140"/>
              <w:spacing w:after="0"/>
              <w:rPr>
                <w:sz w:val="20"/>
                <w:szCs w:val="20"/>
                <w:color w:val="auto"/>
              </w:rPr>
            </w:pPr>
            <w:r>
              <w:rPr>
                <w:rFonts w:ascii="Arial" w:cs="Arial" w:eastAsia="Arial" w:hAnsi="Arial"/>
                <w:sz w:val="18"/>
                <w:szCs w:val="18"/>
                <w:color w:val="auto"/>
              </w:rPr>
              <w:t>Excess tax benefit from stock-based</w:t>
            </w: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30"/>
        </w:trPr>
        <w:tc>
          <w:tcPr>
            <w:tcW w:w="3740" w:type="dxa"/>
            <w:vAlign w:val="bottom"/>
          </w:tcPr>
          <w:p>
            <w:pPr>
              <w:ind w:left="300"/>
              <w:spacing w:after="0"/>
              <w:rPr>
                <w:sz w:val="20"/>
                <w:szCs w:val="20"/>
                <w:color w:val="auto"/>
              </w:rPr>
            </w:pPr>
            <w:r>
              <w:rPr>
                <w:rFonts w:ascii="Arial" w:cs="Arial" w:eastAsia="Arial" w:hAnsi="Arial"/>
                <w:sz w:val="18"/>
                <w:szCs w:val="18"/>
                <w:color w:val="auto"/>
              </w:rPr>
              <w:t>compensation</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r>
      <w:tr>
        <w:trPr>
          <w:trHeight w:val="27"/>
        </w:trPr>
        <w:tc>
          <w:tcPr>
            <w:tcW w:w="37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3740" w:type="dxa"/>
            <w:vAlign w:val="bottom"/>
          </w:tcPr>
          <w:p>
            <w:pPr>
              <w:spacing w:after="0"/>
              <w:rPr>
                <w:sz w:val="20"/>
                <w:szCs w:val="20"/>
                <w:color w:val="auto"/>
              </w:rPr>
            </w:pPr>
            <w:r>
              <w:rPr>
                <w:rFonts w:ascii="Arial" w:cs="Arial" w:eastAsia="Arial" w:hAnsi="Arial"/>
                <w:sz w:val="18"/>
                <w:szCs w:val="18"/>
                <w:color w:val="auto"/>
              </w:rPr>
              <w:t>Balance at December 31, 2012</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28,348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283</w:t>
            </w:r>
          </w:p>
        </w:tc>
        <w:tc>
          <w:tcPr>
            <w:tcW w:w="220" w:type="dxa"/>
            <w:vAlign w:val="bottom"/>
          </w:tcPr>
          <w:p>
            <w:pPr>
              <w:spacing w:after="0"/>
              <w:rPr>
                <w:sz w:val="20"/>
                <w:szCs w:val="20"/>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w w:val="94"/>
              </w:rPr>
              <w:t>Net decrease in unrealized loss on investments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Exercise of stock options</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Restricted stock grants</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Restricted stock grants surrendered</w:t>
            </w:r>
          </w:p>
        </w:tc>
        <w:tc>
          <w:tcPr>
            <w:tcW w:w="80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w w:val="95"/>
              </w:rPr>
              <w:t>Stock compensation expense, net of forfeitures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Employee stock purchase plan</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56"/>
        </w:trPr>
        <w:tc>
          <w:tcPr>
            <w:tcW w:w="3740" w:type="dxa"/>
            <w:vAlign w:val="bottom"/>
          </w:tcPr>
          <w:p>
            <w:pPr>
              <w:ind w:left="140"/>
              <w:spacing w:after="0"/>
              <w:rPr>
                <w:sz w:val="20"/>
                <w:szCs w:val="20"/>
                <w:color w:val="auto"/>
              </w:rPr>
            </w:pPr>
            <w:r>
              <w:rPr>
                <w:rFonts w:ascii="Arial" w:cs="Arial" w:eastAsia="Arial" w:hAnsi="Arial"/>
                <w:sz w:val="18"/>
                <w:szCs w:val="18"/>
                <w:color w:val="auto"/>
              </w:rPr>
              <w:t>Excess tax benefit from stock-based</w:t>
            </w: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30"/>
        </w:trPr>
        <w:tc>
          <w:tcPr>
            <w:tcW w:w="3740" w:type="dxa"/>
            <w:vAlign w:val="bottom"/>
          </w:tcPr>
          <w:p>
            <w:pPr>
              <w:ind w:left="300"/>
              <w:spacing w:after="0"/>
              <w:rPr>
                <w:sz w:val="20"/>
                <w:szCs w:val="20"/>
                <w:color w:val="auto"/>
              </w:rPr>
            </w:pPr>
            <w:r>
              <w:rPr>
                <w:rFonts w:ascii="Arial" w:cs="Arial" w:eastAsia="Arial" w:hAnsi="Arial"/>
                <w:sz w:val="18"/>
                <w:szCs w:val="18"/>
                <w:color w:val="auto"/>
              </w:rPr>
              <w:t>compensation</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r>
      <w:tr>
        <w:trPr>
          <w:trHeight w:val="27"/>
        </w:trPr>
        <w:tc>
          <w:tcPr>
            <w:tcW w:w="37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57"/>
        </w:trPr>
        <w:tc>
          <w:tcPr>
            <w:tcW w:w="3740" w:type="dxa"/>
            <w:vAlign w:val="bottom"/>
          </w:tcPr>
          <w:p>
            <w:pPr>
              <w:spacing w:after="0"/>
              <w:rPr>
                <w:sz w:val="20"/>
                <w:szCs w:val="20"/>
                <w:color w:val="auto"/>
              </w:rPr>
            </w:pPr>
            <w:r>
              <w:rPr>
                <w:rFonts w:ascii="Arial" w:cs="Arial" w:eastAsia="Arial" w:hAnsi="Arial"/>
                <w:sz w:val="18"/>
                <w:szCs w:val="18"/>
                <w:color w:val="auto"/>
              </w:rPr>
              <w:t>Balance at December 31, 2013</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28,848</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7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-5779770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-5436235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-5093335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-4750435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-4407535</wp:posOffset>
            </wp:positionV>
            <wp:extent cx="72466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-3918585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-3575685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-3232150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-2889250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-2546350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-1714500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-1371600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-1028700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-685165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-205105</wp:posOffset>
            </wp:positionV>
            <wp:extent cx="724662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-2066290</wp:posOffset>
            </wp:positionV>
            <wp:extent cx="724662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jc w:val="right"/>
              <w:ind w:right="130"/>
              <w:spacing w:after="0"/>
              <w:rPr>
                <w:sz w:val="20"/>
                <w:szCs w:val="20"/>
                <w:color w:val="auto"/>
              </w:rPr>
            </w:pPr>
            <w:r>
              <w:rPr>
                <w:rFonts w:ascii="Arial" w:cs="Arial" w:eastAsia="Arial" w:hAnsi="Arial"/>
                <w:sz w:val="18"/>
                <w:szCs w:val="18"/>
                <w:color w:val="auto"/>
                <w:w w:val="86"/>
              </w:rPr>
              <w:t>374,981</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(8,706)</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15,019</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381,502</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14,656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14,656</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6,212</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6,214</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0"/>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(2,307)</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(2,307)</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8,056</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8,056</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w w:val="86"/>
              </w:rPr>
              <w:t>247,881</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247,924</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452</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452</w:t>
            </w:r>
          </w:p>
        </w:tc>
      </w:tr>
      <w:tr>
        <w:trPr>
          <w:trHeight w:val="486"/>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2,541</w:t>
            </w:r>
          </w:p>
        </w:tc>
        <w:tc>
          <w:tcPr>
            <w:tcW w:w="52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2,541</w:t>
            </w:r>
          </w:p>
        </w:tc>
      </w:tr>
      <w:tr>
        <w:trPr>
          <w:trHeight w:val="27"/>
        </w:trPr>
        <w:tc>
          <w:tcPr>
            <w:tcW w:w="8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00" w:type="dxa"/>
            <w:vAlign w:val="bottom"/>
          </w:tcPr>
          <w:p>
            <w:pPr>
              <w:jc w:val="right"/>
              <w:ind w:right="130"/>
              <w:spacing w:after="0"/>
              <w:rPr>
                <w:sz w:val="20"/>
                <w:szCs w:val="20"/>
                <w:color w:val="auto"/>
              </w:rPr>
            </w:pPr>
            <w:r>
              <w:rPr>
                <w:rFonts w:ascii="Arial" w:cs="Arial" w:eastAsia="Arial" w:hAnsi="Arial"/>
                <w:sz w:val="18"/>
                <w:szCs w:val="18"/>
                <w:color w:val="auto"/>
                <w:w w:val="86"/>
              </w:rPr>
              <w:t>637,816</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(8,568)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29,675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659,177</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9,915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9,915</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1,277</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773</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9,194</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9,196</w:t>
            </w:r>
          </w:p>
        </w:tc>
      </w:tr>
      <w:tr>
        <w:trPr>
          <w:trHeight w:val="270"/>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(4,204)</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(4,204)</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12,207</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12,207</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749</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749</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w w:val="86"/>
              </w:rPr>
              <w:t>137,036</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137,055</w:t>
            </w:r>
          </w:p>
        </w:tc>
      </w:tr>
      <w:tr>
        <w:trPr>
          <w:trHeight w:val="486"/>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198</w:t>
            </w:r>
          </w:p>
        </w:tc>
        <w:tc>
          <w:tcPr>
            <w:tcW w:w="52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198</w:t>
            </w:r>
          </w:p>
        </w:tc>
      </w:tr>
      <w:tr>
        <w:trPr>
          <w:trHeight w:val="27"/>
        </w:trPr>
        <w:tc>
          <w:tcPr>
            <w:tcW w:w="8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00" w:type="dxa"/>
            <w:vAlign w:val="bottom"/>
          </w:tcPr>
          <w:p>
            <w:pPr>
              <w:jc w:val="right"/>
              <w:ind w:right="130"/>
              <w:spacing w:after="0"/>
              <w:rPr>
                <w:sz w:val="20"/>
                <w:szCs w:val="20"/>
                <w:color w:val="auto"/>
              </w:rPr>
            </w:pPr>
            <w:r>
              <w:rPr>
                <w:rFonts w:ascii="Arial" w:cs="Arial" w:eastAsia="Arial" w:hAnsi="Arial"/>
                <w:sz w:val="18"/>
                <w:szCs w:val="18"/>
                <w:color w:val="auto"/>
                <w:w w:val="86"/>
              </w:rPr>
              <w:t>792,988</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39,590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826,343</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29,734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29,734</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610</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378</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16,820</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16,823</w:t>
            </w:r>
          </w:p>
        </w:tc>
      </w:tr>
      <w:tr>
        <w:trPr>
          <w:trHeight w:val="270"/>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(8,469)</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(8,469)</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41,403</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41,403</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1,455</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1,455</w:t>
            </w:r>
          </w:p>
        </w:tc>
      </w:tr>
      <w:tr>
        <w:trPr>
          <w:trHeight w:val="486"/>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19,585</w:t>
            </w:r>
          </w:p>
        </w:tc>
        <w:tc>
          <w:tcPr>
            <w:tcW w:w="52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19,585</w:t>
            </w:r>
          </w:p>
        </w:tc>
      </w:tr>
      <w:tr>
        <w:trPr>
          <w:trHeight w:val="27"/>
        </w:trPr>
        <w:tc>
          <w:tcPr>
            <w:tcW w:w="8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00" w:type="dxa"/>
            <w:vAlign w:val="bottom"/>
          </w:tcPr>
          <w:p>
            <w:pPr>
              <w:jc w:val="right"/>
              <w:ind w:right="130"/>
              <w:spacing w:after="0"/>
              <w:rPr>
                <w:sz w:val="20"/>
                <w:szCs w:val="20"/>
                <w:color w:val="auto"/>
              </w:rPr>
            </w:pPr>
            <w:r>
              <w:rPr>
                <w:rFonts w:ascii="Arial" w:cs="Arial" w:eastAsia="Arial" w:hAnsi="Arial"/>
                <w:sz w:val="18"/>
                <w:szCs w:val="18"/>
                <w:color w:val="auto"/>
                <w:w w:val="86"/>
              </w:rPr>
              <w:t>863,780</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(5,530)</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69,324</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927,862</w:t>
            </w:r>
          </w:p>
        </w:tc>
      </w:tr>
      <w:tr>
        <w:trPr>
          <w:trHeight w:val="27"/>
        </w:trPr>
        <w:tc>
          <w:tcPr>
            <w:tcW w:w="8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-8255</wp:posOffset>
            </wp:positionV>
            <wp:extent cx="7200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wp:posOffset>
            </wp:positionH>
            <wp:positionV relativeFrom="paragraph">
              <wp:posOffset>-4098290</wp:posOffset>
            </wp:positionV>
            <wp:extent cx="7200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320"/>
            <w:col w:w="5220"/>
          </w:cols>
          <w:pgMar w:left="280" w:top="121" w:right="239" w:bottom="1440" w:gutter="0" w:footer="0" w:header="0"/>
          <w:type w:val="continuous"/>
        </w:sectPr>
      </w:pP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5"/>
          <w:szCs w:val="15"/>
          <w:i w:val="1"/>
          <w:iCs w:val="1"/>
          <w:color w:val="auto"/>
        </w:rPr>
        <w:t>See accompanying notes.</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380"/>
          </w:cols>
          <w:pgMar w:left="280" w:top="121" w:right="239" w:bottom="1440" w:gutter="0" w:footer="0" w:header="0"/>
          <w:type w:val="continuous"/>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Operating activities: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29,734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12,495</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4,417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22,699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27,563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3,014</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Property and equipment write-off</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 from 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(19,585)</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8,103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12,282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41,549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consideration settlement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Deferred income tax expense (benefit), net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13,643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(12,740)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losses on 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acquisitions: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(6,607)</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7,992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7,598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29,295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Deposits and other assets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other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(3,882)</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4,334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5,787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86,126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108,298</w:t>
            </w:r>
          </w:p>
        </w:tc>
        <w:tc>
          <w:tcPr>
            <w:tcW w:w="0" w:type="dxa"/>
            <w:vAlign w:val="bottom"/>
          </w:tcPr>
          <w:p>
            <w:pPr>
              <w:spacing w:after="0"/>
              <w:rPr>
                <w:sz w:val="1"/>
                <w:szCs w:val="1"/>
                <w:color w:val="auto"/>
              </w:rPr>
            </w:pPr>
          </w:p>
        </w:tc>
      </w:tr>
      <w:tr>
        <w:trPr>
          <w:trHeight w:val="122"/>
        </w:trPr>
        <w:tc>
          <w:tcPr>
            <w:tcW w:w="6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Proceeds from sale and settlement of investments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4,911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15,365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building,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83,553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Purchases of property and equipment and other assets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(19,042)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 net of cash acquired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(640,929)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58,366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(640,398)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(18,966)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67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Payments of long-term debt</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Payments of deferred consideration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 from 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19,585</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Repurchase of restricted stock to satisfy tax withholding obligations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(8,469)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equity offering, net of transaction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247,924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Proceeds from exercise of stock options and employee stock purchase plan</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6,622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9,868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18,133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252,680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164,941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10,405</w:t>
            </w:r>
          </w:p>
        </w:tc>
        <w:tc>
          <w:tcPr>
            <w:tcW w:w="0" w:type="dxa"/>
            <w:vAlign w:val="bottom"/>
          </w:tcPr>
          <w:p>
            <w:pPr>
              <w:spacing w:after="0"/>
              <w:rPr>
                <w:sz w:val="1"/>
                <w:szCs w:val="1"/>
                <w:color w:val="auto"/>
              </w:rPr>
            </w:pPr>
          </w:p>
        </w:tc>
      </w:tr>
      <w:tr>
        <w:trPr>
          <w:trHeight w:val="189"/>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exchange rates on cash and cash equivalents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338,875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(389,253)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99,926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206,405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545,280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156,027</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545,280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156,027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255,953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121" w:right="25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25"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CoStar Group, Inc. (the “Company” or “CoStar”) provides information, analytics and marketing services to the commercial real estate and related business community through its comprehensive, proprietary database of commercial real estate information covering the United States (“U.S.”) and parts of the United Kingdom ("U.K.") and France, as well as its complementary online marketplace of commercial real estate listings. The Company operates within two operating segments, U.S. and International, and its services are typically distributed to its clients under subscription-based license agreements that renew automatically, a majority of which have a term of one year.</w:t>
      </w:r>
    </w:p>
    <w:p>
      <w:pPr>
        <w:spacing w:after="0" w:line="184" w:lineRule="exact"/>
        <w:rPr>
          <w:sz w:val="20"/>
          <w:szCs w:val="20"/>
          <w:color w:val="auto"/>
        </w:rPr>
      </w:pPr>
    </w:p>
    <w:p>
      <w:pPr>
        <w:ind w:right="6060" w:firstLine="8"/>
        <w:spacing w:after="0" w:line="503" w:lineRule="auto"/>
        <w:tabs>
          <w:tab w:leader="none" w:pos="648"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intercompany balances and transactions have been eliminated in consolidation. Accounting policies are consistent for each operating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amounts reported in the financial statements and accompanying notes. Actual results could differ from those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previously reported amounts in the consolidated statements of cash flows have been reclassified to conform to the Company’s current presentation.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primarily derives revenues by providing access to its proprietary database of commercial real estate information. The Company generally charges a fixed monthly amount for its subscription-based services. Subscription contract rates are based on the number of sites, number of users, organization size, the client’s business focus, geography and the number of services to which a client subscribes. A majority of the subscription-based license agreements typically have a term of one year and renew automatically.</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is recognized when (1) there is persuasive evidence of an arrangement, (2) the fee is fixed and determinable, (3) services have been rendered and payment has been contractually earned and (4) collectability is reasonably assured.</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Revenues from subscription-based services are recognized on a straight-line basis over the term of the agreement. Deferred revenue results from advance cash receipts from customers or amounts billed in advance to customers from the sales of subscription licenses and is recognized over the term of the license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revenues principally consists of salaries and related expenses for the Company’s researchers who collect and analyze the commercial real estate data that is the basis for the Company’s information, analytics and marketing services. Additionally, cost of revenues includes the cost of data from third party data sources, credit card and other transaction fees relating to processing customer transactions, which are expensed as incurred, and the amortization of acquired trade names and database technology.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580"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functional currency in its foreign locations is the local currency. Assets and liabilities are translated into U.S. dollars as of the balance sheet dates. Revenues, expenses, gains and losses are translated at the average exchange rates in effect during each period. Gains and losses resulting from translation are included in accumulated other comprehensive income (loss). Net gains or losses resulting from foreign currency exchange transactions are included in the consolidated statements of operations. There were no material gains or losses from foreign currency exchange transactions for the years ended December 31, 2011, 2012 and 2013.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The components of accumulated other comprehensive loss were as follows (in thousands):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594"/>
        </w:trPr>
        <w:tc>
          <w:tcPr>
            <w:tcW w:w="8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9"/>
              </w:rPr>
              <w:t>Year Ended December 31,</w:t>
            </w:r>
          </w:p>
        </w:tc>
      </w:tr>
      <w:tr>
        <w:trPr>
          <w:trHeight w:val="27"/>
        </w:trPr>
        <w:tc>
          <w:tcPr>
            <w:tcW w:w="8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Accumulated net unrealized loss on investments, net of tax</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(1,527)</w:t>
            </w: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accumulated other comprehensive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(5,530)</w:t>
            </w:r>
          </w:p>
        </w:tc>
      </w:tr>
      <w:tr>
        <w:trPr>
          <w:trHeight w:val="20"/>
        </w:trPr>
        <w:tc>
          <w:tcPr>
            <w:tcW w:w="8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amounts reclassified out of accumulated other comprehensive loss to the consolidated statements of operations for the years ended December 31, 2011, 2012 and 2013,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expenses advertising costs as incurred. E-commerce advertising expenses were approximately $2.5 million, $4.4 million and $5.7 million for the years ended December 31, 2011, 2012 and 2013,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Deferred income taxes result from temporary differences between the tax basis of assets and liabilities and the basis reported in the Company’s consolidated financial statements. Deferred tax liabilities and assets are determined based on the difference between the financial statement and the tax basis of assets and liabilities using enacted rates expected to be in effect during the year in which the differences reverse. Valuation allowances are provided against assets, including net operating losses, if it is anticipated that some or all of an asset may not be realized through future taxable earnings or implementation of tax planning strategies. Interest and penalties related to income tax matters are recognized in income tax expense.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income per share is computed by dividing net income by the weighted average number of common shares outstanding during the period on a basic and diluted basis. The Company’s potentially dilutive securities include stock options and restricted stock. Diluted net income per share considers the impact of potentially dilutive securities except in periods in which there is a net loss, as the inclusion of the potentially dilutive common shares would have an anti-dilutive effect.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Equity instruments issued in exchange for employee services are accounted for using a fair-value based method and the fair value of such equity instruments is recognized as expense in the consolidated statements of operations.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121"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right="4580" w:firstLine="8"/>
        <w:spacing w:after="0" w:line="503" w:lineRule="auto"/>
        <w:tabs>
          <w:tab w:leader="none" w:pos="648"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 Stock-Based Compensation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Stock-based compensation expense is measured at the grant date of the stock-based awards that vest over set time periods based on their fair values, and is recognized on a straight line basis as expense over the vesting periods of the awards, net of an estimated forfeiture rate. For equity instruments that vest based on performance, the Company assesses the probability of the achievement of the performance conditions at the end of each reporting period, or more frequently based upon the occurrence of events that may change the probability of whether the performance conditions would be met. If the Company's initial estimates of the achievement of the performance conditions change, the related stock-based compensation expense and timing of recognition may fluctuate from period to period based on those estimates. If the performance conditions are not met, no stock-based compensation expense will be recognized and any previously recognized stock-based compensation expense will be reversed.</w:t>
      </w:r>
    </w:p>
    <w:p>
      <w:pPr>
        <w:spacing w:after="0" w:line="17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2012, the Company granted performance-based restricted common stock awards that vest upon the Company's achievement of $90.0 million of cumulative net income before interest, income taxes, depreciation and amortization ("EBITDA") over a period of four consecutive calendar quarters if such performance is achieved by March 31, 2017, subject to certain approvals under the CoStar Group, Inc. 2007 Stock Incentive Plan. As of March 31, 2013, the Company initially determined that it was probable that the performance condition for these performance-based restricted common stock awards would be met by the March 31, 2017 forfeiture date. As of December 31, 2013, the Company reassessed the probability of achieving this performance condition and determined that it was still probable that the performance condition for these awards would be met by the March 31, 2017 forfeiture date. As a result, the Company recorded a total of approximately $21.8 million of stock-based compensation expense related to performance-based restricted common stock for the year ended December 31, 2013. There was no stock-based compensation expense related to performance-based restricted common stock recorded for the years ended December 31, 2011 and December 31, 2012. The Company expects to record additional estimated unrecognized stock-based compensation expense related to performance-based restricted common stock of approximately $2.1 million in 2014.</w:t>
      </w:r>
    </w:p>
    <w:p>
      <w:pPr>
        <w:spacing w:after="0" w:line="16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Cash flows resulting from excess tax benefits are classified as part of cash flows from operating and financing activities. Excess tax benefits represent tax benefits related to stock-based compensation in excess of the associated deferred tax asset for such equity compensation. Net cash proceeds from the exercise of stock options and the purchase of shares under the Employee Stock Purchase Plan (“ESPP”) were approximately $6.6 million, $9.9 million and $18.1 million for the years ended December 31, 2011, 2012 and 2013, respectively. There were approximately $2.5 million, $198,000 and $19.6 million of excess tax benefits realized from stock options exercised and restricted stock awards vested for the years ended December 31, 2011, 2012 and 2013, respectively.</w:t>
      </w:r>
    </w:p>
    <w:p>
      <w:pPr>
        <w:spacing w:after="0" w:line="15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Stock-based compensation expense for stock options and restricted stock issued under equity incentive plans and stock purchases under the ESPP included in the Company's results of operations were as follows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1,635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Selling and marketing</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1,339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4,954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1,130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7,244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3,999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5,519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24,798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w:t>
            </w:r>
          </w:p>
        </w:tc>
        <w:tc>
          <w:tcPr>
            <w:tcW w:w="940" w:type="dxa"/>
            <w:vAlign w:val="bottom"/>
            <w:vMerge w:val="restart"/>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3"/>
              </w:rPr>
              <w:t>8,103</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12,282</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41,549</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w:t>
            </w: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Cash equivalents consist of money market fund investments and commercial paper. As of December 31, 2012 and 2013, cash of approximately $0 and $105,000, respectively, was held to support letters of credit for security deposits.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21"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determines the appropriate classification of debt and equity investments at the time of purchase and re-evaluates such designation as of each balance sheet date. The Company considers all of its investments to be available-for-sale. Short-term investments consisted of government/federal notes and bonds with maturities greater than 90 days at the time of purchase. Available-for-sale short-term investments with contractual maturities beyond one year were classified as current in the Company’s consolidated balance sheets because they represented the investment of cash that is available for current operations. Long-term investments consist of variable rate debt instruments with an auction reset feature, referred to as auction rate securities (“ARS”). Investments are carried at fair value.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Financial Instruments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performs ongoing credit evaluations of its customers’ financial condition and generally does not require that its customers’ obligations to the Company be secured. The Company maintains reserves for estimated inherent credit losses, and such losses have been within management’s expectations. The large size and widespread nature of the Company’s customer base and the Company’s lack of dependence on any individual customer mitigates the risk of nonpayment of the Company’s accounts receivable. No single customer accounted for more than 5% of the Company’s revenues for each of the years ended December 31, 2011, 2012 and 2013. The carrying amount of the accounts receivable approximates the net realizable value. The carrying value of the accounts receivable, accounts payable, accrued expenses and long-term debt approximates fair value.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 of Allowance for Doubtful Accounts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Accounts receivable are recorded at the invoiced amount. Accounts receivable payment terms vary and amounts due from customers are stated in the financial statements net of an allowance for doubtful accounts. The allowance for doubtful accounts is based on the Company’s assessment of the collectability of customer accounts. The Company regularly reviews the allowance by considering factors such as historical experience, the aging of the balances, and current economic conditions that may affect a customer’s ability to pay.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Property and equipment are stated at cost. All repairs and maintenance costs are expensed as incurred. Depreciation and amortization are calculated on a straight-line basis over the following estimated useful lives of the assets:</w:t>
      </w:r>
    </w:p>
    <w:p>
      <w:pPr>
        <w:sectPr>
          <w:pgSz w:w="11900" w:h="16838" w:orient="portrait"/>
          <w:cols w:equalWidth="0" w:num="1">
            <w:col w:w="11420"/>
          </w:cols>
          <w:pgMar w:left="240" w:top="121" w:right="239" w:bottom="1440" w:gutter="0" w:footer="0" w:header="0"/>
        </w:sectPr>
      </w:pPr>
    </w:p>
    <w:p>
      <w:pPr>
        <w:spacing w:after="0" w:line="333"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Shorter of lease term or useful life</w:t>
      </w:r>
    </w:p>
    <w:p>
      <w:pPr>
        <w:spacing w:after="0" w:line="86" w:lineRule="exact"/>
        <w:rPr>
          <w:sz w:val="20"/>
          <w:szCs w:val="20"/>
          <w:color w:val="auto"/>
        </w:rPr>
      </w:pPr>
    </w:p>
    <w:p>
      <w:pPr>
        <w:sectPr>
          <w:pgSz w:w="11900" w:h="16838" w:orient="portrait"/>
          <w:cols w:equalWidth="0" w:num="2">
            <w:col w:w="5120" w:space="720"/>
            <w:col w:w="5580"/>
          </w:cols>
          <w:pgMar w:left="240" w:top="121" w:right="239" w:bottom="1440" w:gutter="0" w:footer="0" w:header="0"/>
          <w:type w:val="continuous"/>
        </w:sectPr>
      </w:pPr>
    </w:p>
    <w:p>
      <w:pPr>
        <w:ind w:left="1480"/>
        <w:spacing w:after="0"/>
        <w:rPr>
          <w:sz w:val="20"/>
          <w:szCs w:val="20"/>
          <w:color w:val="auto"/>
        </w:rPr>
      </w:pPr>
      <w:r>
        <w:rPr>
          <w:rFonts w:ascii="Arial" w:cs="Arial" w:eastAsia="Arial" w:hAnsi="Arial"/>
          <w:sz w:val="16"/>
          <w:szCs w:val="16"/>
          <w:color w:val="auto"/>
        </w:rPr>
        <w:t>Furniture and office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Five to ten years</w:t>
      </w:r>
    </w:p>
    <w:p>
      <w:pPr>
        <w:spacing w:after="0" w:line="86" w:lineRule="exact"/>
        <w:rPr>
          <w:sz w:val="20"/>
          <w:szCs w:val="20"/>
          <w:color w:val="auto"/>
        </w:rPr>
      </w:pPr>
    </w:p>
    <w:p>
      <w:pPr>
        <w:sectPr>
          <w:pgSz w:w="11900" w:h="16838" w:orient="portrait"/>
          <w:cols w:equalWidth="0" w:num="2">
            <w:col w:w="5120" w:space="720"/>
            <w:col w:w="5580"/>
          </w:cols>
          <w:pgMar w:left="240" w:top="121" w:right="239" w:bottom="1440" w:gutter="0" w:footer="0" w:header="0"/>
          <w:type w:val="continuous"/>
        </w:sectPr>
      </w:pPr>
    </w:p>
    <w:p>
      <w:pPr>
        <w:ind w:left="1480"/>
        <w:spacing w:after="0"/>
        <w:rPr>
          <w:sz w:val="20"/>
          <w:szCs w:val="20"/>
          <w:color w:val="auto"/>
        </w:rPr>
      </w:pPr>
      <w:r>
        <w:rPr>
          <w:rFonts w:ascii="Arial" w:cs="Arial" w:eastAsia="Arial" w:hAnsi="Arial"/>
          <w:sz w:val="15"/>
          <w:szCs w:val="15"/>
          <w:color w:val="auto"/>
        </w:rPr>
        <w:t>Research vehicles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Five years</w:t>
      </w:r>
    </w:p>
    <w:p>
      <w:pPr>
        <w:spacing w:after="0" w:line="86" w:lineRule="exact"/>
        <w:rPr>
          <w:sz w:val="20"/>
          <w:szCs w:val="20"/>
          <w:color w:val="auto"/>
        </w:rPr>
      </w:pPr>
    </w:p>
    <w:p>
      <w:pPr>
        <w:sectPr>
          <w:pgSz w:w="11900" w:h="16838" w:orient="portrait"/>
          <w:cols w:equalWidth="0" w:num="2">
            <w:col w:w="5120" w:space="720"/>
            <w:col w:w="5580"/>
          </w:cols>
          <w:pgMar w:left="240" w:top="121" w:right="239" w:bottom="1440" w:gutter="0" w:footer="0" w:header="0"/>
          <w:type w:val="continuous"/>
        </w:sectPr>
      </w:pPr>
    </w:p>
    <w:p>
      <w:pPr>
        <w:ind w:left="1480"/>
        <w:spacing w:after="0"/>
        <w:rPr>
          <w:sz w:val="20"/>
          <w:szCs w:val="20"/>
          <w:color w:val="auto"/>
        </w:rPr>
      </w:pPr>
      <w:r>
        <w:rPr>
          <w:rFonts w:ascii="Arial" w:cs="Arial" w:eastAsia="Arial" w:hAnsi="Arial"/>
          <w:sz w:val="16"/>
          <w:szCs w:val="16"/>
          <w:color w:val="auto"/>
        </w:rPr>
        <w:t>Computer hardware and 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Two to five years</w:t>
      </w:r>
    </w:p>
    <w:p>
      <w:pPr>
        <w:spacing w:after="0" w:line="200" w:lineRule="exact"/>
        <w:rPr>
          <w:sz w:val="20"/>
          <w:szCs w:val="20"/>
          <w:color w:val="auto"/>
        </w:rPr>
      </w:pPr>
    </w:p>
    <w:p>
      <w:pPr>
        <w:sectPr>
          <w:pgSz w:w="11900" w:h="16838" w:orient="portrait"/>
          <w:cols w:equalWidth="0" w:num="2">
            <w:col w:w="5120" w:space="720"/>
            <w:col w:w="5580"/>
          </w:cols>
          <w:pgMar w:left="240" w:top="121" w:right="239" w:bottom="1440" w:gutter="0" w:footer="0" w:header="0"/>
          <w:type w:val="continuous"/>
        </w:sectPr>
      </w:pPr>
    </w:p>
    <w:p>
      <w:pPr>
        <w:spacing w:after="0" w:line="7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Qualifying internal-use software costs incurred during the application development stage, which consists primarily of outside services, purchased software license costs and internal product development costs are capitalized and amortized over the estimated useful life of the asset. All other costs are expensed as incurred.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1" w:right="239" w:bottom="1440" w:gutter="0" w:footer="0" w:header="0"/>
          <w:type w:val="continuous"/>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Goodwill, Intangibles and Other Assets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Goodwill represents the excess of costs over the fair value of assets of acquired businesses. Goodwill and intangible assets acquired in a business combination and determined to have an indefinite useful life are not amortized, but instead tested for impairment at least annually by reporting unit. The Company’s operating segments, U.S. and International, are the reporting units tested for potential impairment. To determine whether it is necessary to perform the two-step goodwill impairment test, the Company may first assess qualitative factors to evaluate whether it is more likely than not that the fair value of a reporting unit is less than its carrying amount. If the Company concludes that it is more likely than not that the fair value of a reporting unit is less than its carrying amount or if the Company elects not to assess qualitative factors, then the Company performs the two-step process. The first step is to determine the fair value of each reporting unit. The estimate of the fair value of each reporting unit is based on a projected discounted cash flow model that includes significant assumptions and estimates including the Company's discount rate, growth rate and future financial performance. Assumptions about the discount rate are based on a weighted average cost of capital for comparable companies. Assumptions about the growth rate and future financial performance of a reporting unit are based on the Company's forecasts, business plans, economic projections and anticipated future cash flows. The fair value of each reporting unit is compared to the carrying amount of the reporting unit. If the carrying value of the reporting unit exceeds the fair value, then the second step of the process is performed to measure the impairment loss. The impairment loss is measured based on a projected discounted cash flow method using a discount rate determined by the Company’s management to be commensurate with the risk in its current business model.</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determine whether it is necessary to perform the quantitative impairment test for indefinite-lived intangible assets, the Company may first assess qualitative factors to evaluate whether it is more likely than not that the fair value of the indefinite-lived intangible assets is less than the carrying amount. If the Company concludes that it is more likely than not that the fair value of the indefinite-lived intangible assets is less than the carrying amount or if the Company elects not to assess qualitative factors, then the Company performs the quantitative impairment test similar to the test performed on goodwill discussed above.</w:t>
      </w:r>
    </w:p>
    <w:p>
      <w:pPr>
        <w:spacing w:after="0" w:line="188"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Intangible assets with estimable useful lives that arose from acquisitions on or after July 1, 2001 are amortized over their respective estimated useful lives using a method of amortization that reflects the pattern in which the economic benefits of the intangible assets are consumed or otherwise used up, and are reviewed at least annually for impairment</w:t>
      </w:r>
      <w:r>
        <w:rPr>
          <w:rFonts w:ascii="Arial" w:cs="Arial" w:eastAsia="Arial" w:hAnsi="Arial"/>
          <w:sz w:val="18"/>
          <w:szCs w:val="18"/>
          <w:i w:val="1"/>
          <w:iCs w:val="1"/>
          <w:color w:val="auto"/>
        </w:rPr>
        <w:t>.</w:t>
      </w:r>
    </w:p>
    <w:p>
      <w:pPr>
        <w:spacing w:after="0" w:line="18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Acquired database technology, customer base and trade names and other are related to the Company’s acquisitions (see Notes 3, 7 and 8). With the exception of the acquired trade name recorded in connection with the acquisition of LoopNet, acquired database technology and trade names and other are amortized on a straight-line basis over periods ranging from two to ten years. The acquired trade name recorded in connection with the LoopNet acquisition has an indefinite estimated useful life and is not amortized, but is subject to annual impairment tests. The acquired intangible asset characterized as customer base consists of one distinct intangible asset composed of acquired customer contracts and the related customer relationships. Acquired customer bases are typically amortized on an accelerated basis related to the expected economic benefit of the intangible asset. The cost of capitalized building photography is amortized on a straight-line basis over five years.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Long-lived assets, such as property, plant, and equipment, and purchased intangibles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or asset group. If the carrying amount of an asset exceeds its estimated future cash flows, an impairment charge is recognized in the amount by which the carrying amount of the asset exceeds the fair value of the asset.</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Assets to be disposed of would be separately presented in the balance sheet and reported at the lower of the carrying amount or fair value less costs to sell, and would no longer be depreciated. The assets and liabilities of a disposal group classified as held for sale would be presented separately in the appropriate asset and liability sections of the balance sheet.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Capitalized Product Development Costs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Product development costs are expensed as incurred until technological feasibility has been established, at which time such costs are capitalized. Costs are capitalized, to the extent that the capitalizable costs do not exceed the realizable value of such costs, until the product is available for general release to customers. The Company defines the establishment of technological feasibility as the completion of all planning, designing, coding and testing activities that are necessary to establish products that meet design specifications including functions, features and technical performance requirements. The Company’s capitalized product development costs had a total net book value of approximately $302,000 and $111,000 as of December 31, 2012 and 2013, respectively. These capitalized product development costs are included in intangible and other assets in the Company’s consolidated balance sheets. Amortization is computed using a straight-line method over the remaining estimated economic life of the product, typically three to five years after the software is ready for its intended use. The Company amortized capitalized product development costs of approximately $80,000, $191,000 and $191,000 for the years ended December 31, 2011, 2012 and 2013,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Costs incurred in connection with the issuance of long-term debt are capitalized and amortized as interest expense over the term of the related debt using the effective interest method. The Company had capitalized debt issuance costs of approximately $9.6 million and $6.5 million as of December 31, 2012 and 2013, respectively. The debt issuance costs are associated with the financing commitment received from JPMorgan Chase Bank, N.A. (“J.P. Morgan Bank”) on April 27, 2011 and the subsequent term loan facility and revolving credit facility established under a credit agreement dated February 16, 2012 (the “Credit Agreement”). See Note 9 for additional information regarding the financing commitment with J.P. Morgan Bank and the Credit Agreement. No amortization expense for debt issuance costs was recognized by the Company for the year ended December 31, 2011. The Company amortized debt issuance costs of approximately $2.0 million and $3.0 million for the years ended December 31, 2012 and 2013,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July 2012, the Financial Accounting Standards Board ("FASB") issued authoritative guidance to simplify how companies test indefinite-lived intangible assets for impairment. The guidance permits a company to first assess qualitative factors to determine whether it is more likely than not that an indefinite-lived intangible asset is impaired as a basis for determining whether it is necessary to perform the quantitative impairment test. This guidance is effective for annual and interim impairment tests performed for fiscal years beginning after September 15, 2012, with early adoption permitted. This guidance did not have a material impact on the Company's results of operations or financial position.</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February 2013, the FASB issued authoritative guidance to improve the reporting of reclassifications out of accumulated other comprehensive income. This guidance requires a company to present, either on the consolidated statements of operations or in the notes to the consolidated financial statements, significant amounts reclassified out of accumulated other comprehensive income by the respective line items of net income, but only if the amount reclassified is required under GAAP to be reclassified in its entirety to net income. For other amounts that are not required under GAAP to be reclassified in their entirety to net income in the same reporting period, an entity is required to cross-reference other disclosures required under GAAP that provide additional detail about those amounts. This guidance is effective prospectively for financial statements issued for interim and annual periods beginning after December 15, 2012. This guidance did not have a material impact on the Company's results of operations or financial position, but the Company provided additional disclosures in its financial statements.</w:t>
      </w:r>
    </w:p>
    <w:p>
      <w:pPr>
        <w:spacing w:after="0" w:line="1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are no accounting pronouncements that have been recently issued but not yet adopted by the Company that would have a material impact on the Company’s results of operations or financial position.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1"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April 30, 2012, the Company acquired 100% of the outstanding stock of LoopNet pursuant to an Agreement and Plan of Merger dated April 27, 2011, as amended May 20, 2011 (the “Merger Agreement”). LoopNet owns and operates an online marketplace for commercial real estate in the U.S. The online marketplace enables commercial real estate agents, working on behalf of property owners and landlords, to list properties for sale or for lease and submit detailed information on property listings to find a buyer or tenant. The acquisition combines the research capabilities of the Company with the marketing solutions offered by LoopNet to create efficiencies in operations and provide more opportunities for the combined company's customers.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consideration paid for LoopNet (in thousands except share and per share data):</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746,393</w:t>
            </w:r>
          </w:p>
        </w:tc>
      </w:tr>
      <w:tr>
        <w:trPr>
          <w:trHeight w:val="243"/>
        </w:trPr>
        <w:tc>
          <w:tcPr>
            <w:tcW w:w="10280" w:type="dxa"/>
            <w:vAlign w:val="bottom"/>
          </w:tcPr>
          <w:p>
            <w:pPr>
              <w:spacing w:after="0"/>
              <w:rPr>
                <w:sz w:val="20"/>
                <w:szCs w:val="20"/>
                <w:color w:val="auto"/>
              </w:rPr>
            </w:pPr>
            <w:r>
              <w:rPr>
                <w:rFonts w:ascii="Arial" w:cs="Arial" w:eastAsia="Arial" w:hAnsi="Arial"/>
                <w:sz w:val="18"/>
                <w:szCs w:val="18"/>
                <w:color w:val="auto"/>
              </w:rPr>
              <w:t>Equity interest (1,880,300 shares at $72.89)</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137,055</w:t>
            </w:r>
          </w:p>
        </w:tc>
      </w:tr>
      <w:tr>
        <w:trPr>
          <w:trHeight w:val="27"/>
        </w:trPr>
        <w:tc>
          <w:tcPr>
            <w:tcW w:w="10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10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Fair value of total consideration transferred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883,448</w:t>
            </w:r>
          </w:p>
        </w:tc>
      </w:tr>
      <w:tr>
        <w:trPr>
          <w:trHeight w:val="20"/>
        </w:trPr>
        <w:tc>
          <w:tcPr>
            <w:tcW w:w="10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has applied the acquisition method to account for the LoopNet transaction, which requires that, among other things, assets acquired and liabilities assumed be recorded at their fair values as of the acquisition date. The following table summarizes the amounts for acquired assets and liabilities recorded at their fair values as of the acquisition date (in thousands):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105,464</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3,021</w:t>
            </w:r>
          </w:p>
        </w:tc>
      </w:tr>
      <w:tr>
        <w:trPr>
          <w:trHeight w:val="27"/>
        </w:trPr>
        <w:tc>
          <w:tcPr>
            <w:tcW w:w="10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625,174</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Acquired trade names and other</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48,700</w:t>
            </w:r>
          </w:p>
        </w:tc>
      </w:tr>
      <w:tr>
        <w:trPr>
          <w:trHeight w:val="27"/>
        </w:trPr>
        <w:tc>
          <w:tcPr>
            <w:tcW w:w="10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customer base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71,500</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Acquired database technology</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52,100</w:t>
            </w:r>
          </w:p>
        </w:tc>
      </w:tr>
      <w:tr>
        <w:trPr>
          <w:trHeight w:val="27"/>
        </w:trPr>
        <w:tc>
          <w:tcPr>
            <w:tcW w:w="10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(32,623)</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Other assets and liabilities</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10,112</w:t>
            </w:r>
          </w:p>
        </w:tc>
      </w:tr>
      <w:tr>
        <w:trPr>
          <w:trHeight w:val="27"/>
        </w:trPr>
        <w:tc>
          <w:tcPr>
            <w:tcW w:w="10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10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Fair value of identifiable net assets acquired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883,448</w:t>
            </w:r>
          </w:p>
        </w:tc>
      </w:tr>
      <w:tr>
        <w:trPr>
          <w:trHeight w:val="20"/>
        </w:trPr>
        <w:tc>
          <w:tcPr>
            <w:tcW w:w="10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net assets of LoopNet were recorded at their estimated fair value. In valuing acquired assets and liabilities, fair value estimates are based on, but are not limited to, future expected cash flows, expected holding period of investments, market rate assumptions for contractual obligations, and appropriate discount rates.</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acquired customer base for the acquisition consists of one distinct intangible asset, is composed of acquired customer contracts and the related customer relationships, and has an estimated useful life of 10 years. The acquired database technology has an estimated useful life of 5 years and the acquired trade names have an indefinite estimated useful life. Amortization of the acquired customer base is recognized on an accelerated basis related to the expected economic benefit of the intangible asset, while amortization of the acquired database technology is recognized on a straight-line basis over the estimated useful life. The acquired trade names recorded in connection with this acquisition are not amortized, but are subject to annual impairment tests.</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Goodwill recorded in connection with this acquisition is not amortized, but is subject to annual impairment tests. The $625.2 million of goodwill recorded as part of the acquisition is associated with the Company's U.S. operating segment. None of the goodwill recognized is deductible for income tax purposes.</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Goodwill is calculated as the excess of the consideration transferred over the net assets recognized and represents the future economic benefits arising from other assets acquired that could not be individually identified and separately recognized. Specifically, the goodwill recorded as part of the LoopNet acquisition includes: (i) the expected synergies and other benefits that the Company believes will result from combining its operations with LoopNet's operations; and (ii) any intangible assets that do not qualify for separate recognition, such as the assembled workforce.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1"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result of the LoopNet acquisition, the Company recorded approximately $14.2 million and $5.2 million in acquisition-related costs for the years ended December 31, 2011 and 2012, respectively. These costs were directly related to acquiring LoopNet and were expensed as incurred and recorded in general and administrative expense. There were no acquisition-related costs recorded for the year ended December 31, 2013 related to the LoopNet acquisition.</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Prior to completion of the LoopNet acquisition, on April 26, 2012, the Federal Trade Commission (the “FTC”) accepted a consent order in connection with the LoopNet merger that was previously agreed to by the Company and LoopNet. The consent order was subject to a 30-day public comment period, and on August 29, 2012, the FTC issued its final acceptance of the consent order. The consent order, which is publicly available on the FTC's website at www.ftc.gov, required, among other things, that the Company and LoopNet divest LoopNet's minority interest in Xceligent. On March 28, 2012, the Company and LoopNet entered into an agreement to sell LoopNet's interest in Xceligent to DMG Information (“DMGI”). The parties closed the sale of LoopNet's interest in Xceligent to DMGI on May 3, 2012. The Company received $4.2 million in proceeds from the sale, which reflected the fair value of the investment at the time of sale and resulted in no gain on the sale of the investment.</w:t>
      </w:r>
    </w:p>
    <w:p>
      <w:pPr>
        <w:spacing w:after="0" w:line="174"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determines the appropriate classification of debt and equity investments at the time of purchase and re-evaluates such designation as of each balance sheet date. The Company considers all of its investments to be available-for-sale. Short-term investments consisted of government/federal notes and bonds with maturities greater than 90 days at the time of purchase. Available-for-sale short-term investments with contractual maturities beyond one year were classified as current in the Company’s consolidated balance sheets because they represented the investment of cash that was available for current operations. Long-term investments consist of variable rate debt instruments with an auction reset feature, referred to as ARS. Investments are carried at fair market value.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Scheduled maturities of investments classified as available-for-sale as of December 31, 2013 are as follows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gridSpan w:val="2"/>
          </w:tcPr>
          <w:p>
            <w:pPr>
              <w:ind w:left="40"/>
              <w:spacing w:after="0"/>
              <w:rPr>
                <w:sz w:val="20"/>
                <w:szCs w:val="20"/>
                <w:color w:val="auto"/>
              </w:rPr>
            </w:pPr>
            <w:r>
              <w:rPr>
                <w:rFonts w:ascii="Arial" w:cs="Arial" w:eastAsia="Arial" w:hAnsi="Arial"/>
                <w:sz w:val="18"/>
                <w:szCs w:val="18"/>
                <w:b w:val="1"/>
                <w:bCs w:val="1"/>
                <w:color w:val="auto"/>
              </w:rPr>
              <w:t>Maturity</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9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9920" w:type="dxa"/>
            <w:vAlign w:val="bottom"/>
            <w:gridSpan w:val="2"/>
          </w:tcPr>
          <w:p>
            <w:pPr>
              <w:ind w:left="40"/>
              <w:spacing w:after="0"/>
              <w:rPr>
                <w:sz w:val="20"/>
                <w:szCs w:val="20"/>
                <w:color w:val="auto"/>
              </w:rPr>
            </w:pPr>
            <w:r>
              <w:rPr>
                <w:rFonts w:ascii="Arial" w:cs="Arial" w:eastAsia="Arial" w:hAnsi="Arial"/>
                <w:sz w:val="18"/>
                <w:szCs w:val="18"/>
                <w:color w:val="auto"/>
              </w:rPr>
              <w:t>Due in:</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9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9920" w:type="dxa"/>
            <w:vAlign w:val="bottom"/>
            <w:gridSpan w:val="2"/>
          </w:tcPr>
          <w:p>
            <w:pPr>
              <w:ind w:left="280"/>
              <w:spacing w:after="0"/>
              <w:rPr>
                <w:sz w:val="20"/>
                <w:szCs w:val="20"/>
                <w:color w:val="auto"/>
              </w:rPr>
            </w:pPr>
            <w:r>
              <w:rPr>
                <w:rFonts w:ascii="Arial" w:cs="Arial" w:eastAsia="Arial" w:hAnsi="Arial"/>
                <w:sz w:val="18"/>
                <w:szCs w:val="18"/>
                <w:color w:val="auto"/>
              </w:rPr>
              <w:t>2015 — 2018</w:t>
            </w: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853</w:t>
            </w:r>
          </w:p>
        </w:tc>
      </w:tr>
      <w:tr>
        <w:trPr>
          <w:trHeight w:val="27"/>
        </w:trPr>
        <w:tc>
          <w:tcPr>
            <w:tcW w:w="9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2019 — 2023</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9920" w:type="dxa"/>
            <w:vAlign w:val="bottom"/>
            <w:gridSpan w:val="2"/>
          </w:tcPr>
          <w:p>
            <w:pPr>
              <w:ind w:left="280"/>
              <w:spacing w:after="0"/>
              <w:rPr>
                <w:sz w:val="20"/>
                <w:szCs w:val="20"/>
                <w:color w:val="auto"/>
              </w:rPr>
            </w:pPr>
            <w:r>
              <w:rPr>
                <w:rFonts w:ascii="Arial" w:cs="Arial" w:eastAsia="Arial" w:hAnsi="Arial"/>
                <w:sz w:val="18"/>
                <w:szCs w:val="18"/>
                <w:color w:val="auto"/>
              </w:rPr>
              <w:t>2024 and thereafter</w:t>
            </w: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21,137</w:t>
            </w:r>
          </w:p>
        </w:tc>
      </w:tr>
      <w:tr>
        <w:trPr>
          <w:trHeight w:val="27"/>
        </w:trPr>
        <w:tc>
          <w:tcPr>
            <w:tcW w:w="9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Available-for-sale investments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21,990</w:t>
            </w:r>
          </w:p>
        </w:tc>
      </w:tr>
      <w:tr>
        <w:trPr>
          <w:trHeight w:val="20"/>
        </w:trPr>
        <w:tc>
          <w:tcPr>
            <w:tcW w:w="9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had no realized gains on its investments for the years ended December 31, 2011, 2012 and 2013, respectively. The Company had no realized losses on its investments for the years ended December 31, 2011, 2012 and 2013, respectively. Realized gains and losses from the sale of available-for-sale securities are determined on a specific-identification basis.</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Changes in unrealized holding gains and losses, net of the related tax effect, on available-for-sale securities are excluded from earnings and are reported as a separate component of accumulated other comprehensive income (loss) in stockholders’ equity until realized. A decline in market value of any available-for-sale security below cost that is deemed to be other-than-temporary results in a reduction in carrying amount to fair value. The impairment is charged to earnings and a new cost basis for the security is established. Dividend and interest income are recognized when earned.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2013, the amortized cost basis and fair value of investments classified as available-for-sale were as follows (in thousands):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Auction rate securities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23,517</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21,990</w:t>
            </w: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Available-for-sale investments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23,517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21,990</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662"/>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ind w:left="160"/>
              <w:spacing w:after="0"/>
              <w:rPr>
                <w:sz w:val="20"/>
                <w:szCs w:val="20"/>
                <w:color w:val="auto"/>
              </w:rPr>
            </w:pPr>
            <w:r>
              <w:rPr>
                <w:rFonts w:ascii="Arial" w:cs="Arial" w:eastAsia="Arial" w:hAnsi="Arial"/>
                <w:sz w:val="18"/>
                <w:szCs w:val="18"/>
                <w:color w:val="auto"/>
              </w:rPr>
              <w:t>F-16</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2012, the amortized cost basis and fair value of investments classified as available-for-sale were as follows (in thousands):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Government-sponsored enterprise obligations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Auction rate securities</w:t>
            </w:r>
          </w:p>
        </w:tc>
        <w:tc>
          <w:tcPr>
            <w:tcW w:w="2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23,567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21,662</w:t>
            </w: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Available-for-sale investments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23,604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21,699</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unrealized losses on the Company’s investments as of December 31, 2012 and 2013 were generated primarily from changes in interest rates. The losses are considered temporary, as the contractual terms of these investments do not permit the issuer to settle the security at a price less than the amortized cost of the investment. Because the Company does not intend to sell these instruments and it is more likely than not that the Company will not be required to sell these instruments prior to anticipated recovery, which may be at maturity, the Company does not consider these investments to be other-than-temporarily impaired as of December 31, 2012 and 2013. See Note 5 for further discussion of the fair value of the Company’s financial assets.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Company’s investments in an unrealized loss position for more than twelve months were as follows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5"/>
          </w:tcPr>
          <w:p>
            <w:pPr>
              <w:ind w:left="78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2013</w:t>
            </w:r>
          </w:p>
        </w:tc>
        <w:tc>
          <w:tcPr>
            <w:tcW w:w="126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Aggregate</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Aggregate</w:t>
            </w:r>
          </w:p>
        </w:tc>
        <w:tc>
          <w:tcPr>
            <w:tcW w:w="2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4"/>
              </w:rPr>
              <w:t>Gross</w:t>
            </w: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Unrealized</w:t>
            </w:r>
          </w:p>
        </w:tc>
      </w:tr>
      <w:tr>
        <w:trPr>
          <w:trHeight w:val="234"/>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4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260" w:type="dxa"/>
            <w:vAlign w:val="bottom"/>
          </w:tcPr>
          <w:p>
            <w:pPr>
              <w:jc w:val="center"/>
              <w:ind w:right="150"/>
              <w:spacing w:after="0"/>
              <w:rPr>
                <w:sz w:val="20"/>
                <w:szCs w:val="20"/>
                <w:color w:val="auto"/>
              </w:rPr>
            </w:pPr>
            <w:r>
              <w:rPr>
                <w:rFonts w:ascii="Arial" w:cs="Arial" w:eastAsia="Arial" w:hAnsi="Arial"/>
                <w:sz w:val="18"/>
                <w:szCs w:val="18"/>
                <w:b w:val="1"/>
                <w:bCs w:val="1"/>
                <w:color w:val="auto"/>
                <w:w w:val="80"/>
              </w:rPr>
              <w:t>Losses</w:t>
            </w: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Government-sponsored enterprise obligations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Auction rate securities</w:t>
            </w:r>
          </w:p>
        </w:tc>
        <w:tc>
          <w:tcPr>
            <w:tcW w:w="2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21,119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21,137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(1,938)</w:t>
            </w: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Investments in an unrealized loss position</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21,156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21,137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did not have any investments in an unrealized loss position for less than twelve months as of December 31, 2012 and 2013, respectively.</w:t>
      </w:r>
    </w:p>
    <w:p>
      <w:pPr>
        <w:spacing w:after="0" w:line="244"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Fair value is defined as the price that would be received in the sale of an asset or paid to transfer a liability in an orderly transaction between market participants. There is a three-tier fair value hierarchy, which categorizes the inputs used in measuring fair value. These tiers include: Level 1, defined as observable inputs such as quoted prices in active markets for identical assets or liabilities; Level 2, defined as inputs other than quoted prices in active markets that are either directly or indirectly observable; and Level 3, defined as unobservable inputs for which little or no market data exists, therefore requiring an entity to develop its own assumptions.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1" w:right="2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represents the Company's fair value hierarchy for its financial assets (cash, cash equivalents and investments) and liabilities measured at fair value on a recurring basis as of December 31, 2013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140" w:type="dxa"/>
            <w:vAlign w:val="bottom"/>
            <w:vMerge w:val="restart"/>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134,989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134,989</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50,593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50,593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70,371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70,371</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Auction rate securities</w:t>
            </w: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21,990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21,990</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 measured at fair value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255,953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21,990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277,943</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consideration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Total liabilities measured at fair value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represents the Company's fair value hierarchy for its financial assets (cash, cash equivalents and investments) and liabilities measured at fair value on a recurring basis as of December 31, 2012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140" w:type="dxa"/>
            <w:vAlign w:val="bottom"/>
            <w:vMerge w:val="restart"/>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135,232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135,232</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20,775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20,775</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7"/>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Government-sponsored enterprise obligations</w:t>
            </w:r>
          </w:p>
        </w:tc>
        <w:tc>
          <w:tcPr>
            <w:tcW w:w="3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Auction rate securities</w:t>
            </w: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21,662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21,662</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measured at fair value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156,027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21,662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177,726</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40"/>
              <w:spacing w:after="0"/>
              <w:rPr>
                <w:sz w:val="20"/>
                <w:szCs w:val="20"/>
                <w:color w:val="auto"/>
              </w:rPr>
            </w:pPr>
            <w:r>
              <w:rPr>
                <w:rFonts w:ascii="Arial" w:cs="Arial" w:eastAsia="Arial" w:hAnsi="Arial"/>
                <w:sz w:val="18"/>
                <w:szCs w:val="18"/>
                <w:color w:val="auto"/>
              </w:rPr>
              <w:t>Liabilities:</w:t>
            </w: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consideration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Total liabilities measured at fair value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2,304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Level 2 assets consisted of government-sponsored enterprise obligations, which did not have directly observable quoted prices in active markets. The Company’s Level 2 assets were valued using matrix pricing.</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Level 3 assets consist of ARS, whose underlying assets are primarily student loan securities supported by guarantees from the Federal Family Education Loan Program (“FFELP”) of the U.S. Department of Education.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21"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changes in fair value of the Company’s Level 3 assets from December 31, 2007 to December 31, 2013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Auction</w:t>
            </w:r>
          </w:p>
        </w:tc>
      </w:tr>
      <w:tr>
        <w:trPr>
          <w:trHeight w:val="216"/>
        </w:trPr>
        <w:tc>
          <w:tcPr>
            <w:tcW w:w="9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Rate</w:t>
            </w:r>
          </w:p>
        </w:tc>
      </w:tr>
      <w:tr>
        <w:trPr>
          <w:trHeight w:val="234"/>
        </w:trPr>
        <w:tc>
          <w:tcPr>
            <w:tcW w:w="9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Securities</w:t>
            </w:r>
          </w:p>
        </w:tc>
      </w:tr>
      <w:tr>
        <w:trPr>
          <w:trHeight w:val="27"/>
        </w:trPr>
        <w:tc>
          <w:tcPr>
            <w:tcW w:w="9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2007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53,975</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Increase in unrealized loss included in accumulated other comprehensive loss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(3,710)</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(20,925)</w:t>
            </w:r>
          </w:p>
        </w:tc>
      </w:tr>
      <w:tr>
        <w:trPr>
          <w:trHeight w:val="237"/>
        </w:trPr>
        <w:tc>
          <w:tcPr>
            <w:tcW w:w="9920" w:type="dxa"/>
            <w:vAlign w:val="bottom"/>
          </w:tcPr>
          <w:p>
            <w:pPr>
              <w:ind w:left="40"/>
              <w:spacing w:after="0"/>
              <w:rPr>
                <w:sz w:val="20"/>
                <w:szCs w:val="20"/>
                <w:color w:val="auto"/>
              </w:rPr>
            </w:pPr>
            <w:r>
              <w:rPr>
                <w:rFonts w:ascii="Arial" w:cs="Arial" w:eastAsia="Arial" w:hAnsi="Arial"/>
                <w:sz w:val="18"/>
                <w:szCs w:val="18"/>
                <w:color w:val="auto"/>
              </w:rPr>
              <w:t>Balance at December 31, 2008</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29,340</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in unrealized loss included in 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684</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Settlements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9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2009</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29,724</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Decrease in unrealized loss included in accumulated other comprehensive loss</w:t>
            </w: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40</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37"/>
        </w:trPr>
        <w:tc>
          <w:tcPr>
            <w:tcW w:w="9920" w:type="dxa"/>
            <w:vAlign w:val="bottom"/>
          </w:tcPr>
          <w:p>
            <w:pPr>
              <w:ind w:left="40"/>
              <w:spacing w:after="0"/>
              <w:rPr>
                <w:sz w:val="20"/>
                <w:szCs w:val="20"/>
                <w:color w:val="auto"/>
              </w:rPr>
            </w:pPr>
            <w:r>
              <w:rPr>
                <w:rFonts w:ascii="Arial" w:cs="Arial" w:eastAsia="Arial" w:hAnsi="Arial"/>
                <w:sz w:val="18"/>
                <w:szCs w:val="18"/>
                <w:color w:val="auto"/>
              </w:rPr>
              <w:t>Balance at December 31, 2010</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29,189</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in unrealized loss included in 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Settlements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(4,850)</w:t>
            </w:r>
          </w:p>
        </w:tc>
      </w:tr>
      <w:tr>
        <w:trPr>
          <w:trHeight w:val="27"/>
        </w:trPr>
        <w:tc>
          <w:tcPr>
            <w:tcW w:w="9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2011</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24,584</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Auction rate securities upon acquisition</w:t>
            </w: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442</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in unrealized loss included in 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836</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Settlements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(4,200)</w:t>
            </w:r>
          </w:p>
        </w:tc>
      </w:tr>
      <w:tr>
        <w:trPr>
          <w:trHeight w:val="27"/>
        </w:trPr>
        <w:tc>
          <w:tcPr>
            <w:tcW w:w="9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21,662</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Decrease in unrealized loss included in accumulated other comprehensive loss</w:t>
            </w: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378</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57"/>
        </w:trPr>
        <w:tc>
          <w:tcPr>
            <w:tcW w:w="9920" w:type="dxa"/>
            <w:vAlign w:val="bottom"/>
          </w:tcPr>
          <w:p>
            <w:pPr>
              <w:ind w:left="40"/>
              <w:spacing w:after="0"/>
              <w:rPr>
                <w:sz w:val="20"/>
                <w:szCs w:val="20"/>
                <w:color w:val="auto"/>
              </w:rPr>
            </w:pPr>
            <w:r>
              <w:rPr>
                <w:rFonts w:ascii="Arial" w:cs="Arial" w:eastAsia="Arial" w:hAnsi="Arial"/>
                <w:sz w:val="18"/>
                <w:szCs w:val="18"/>
                <w:color w:val="auto"/>
              </w:rPr>
              <w:t>Balance at December 31, 2013</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21,990</w:t>
            </w:r>
          </w:p>
        </w:tc>
      </w:tr>
      <w:tr>
        <w:trPr>
          <w:trHeight w:val="20"/>
        </w:trPr>
        <w:tc>
          <w:tcPr>
            <w:tcW w:w="9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ARS are variable rate debt instruments whose interest rates are reset approximately every 28 days. The majority of the underlying securities have contractual maturities greater than twenty years. The ARS are recorded at fair value.</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December 31, 2013, the Company held ARS with $24.3 million par value, all of which failed to settle at auction. The majority of these investments are of high credit quality with AAA credit ratings and are primarily student loan securities supported by guarantees from the FFELP of the U.S. Department of Education. The Company may not be able to liquidate and fully recover the carrying value of the ARS in the near term. As a result, these securities are classified as long-term investments in the Company’s consolidated balance sheet as of December 31, 2013.</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While the Company continues to earn interest on its ARS investments at the contractual rate, these investments are not currently actively trading and therefore do not currently have a readily determinable market value. The estimated fair value of the ARS no longer approximates par value. The Company used a discounted cash flow model to determine the estimated fair value of its investment in ARS as of December 31, 2013. The assumptions used in preparing the discounted cash flow model include estimates for interest rates, credit spreads, timing and amount of contractual cash flows, liquidity risk premiums, expected holding periods and default risk. The Company updates the discounted cash flow model on a quarterly basis to reflect any changes in the assumptions used in the model and settlements of ARS investments that occurred during the period.</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only significant unobservable input in the discounted cash flow model is the discount rate. The discount rate used represents the Company's estimate of the yield expected by a market participant from the ARS investments. The weighted average discount rate used in the discounted cash flow model as of December 31, 2012 and 2013 was approximately 5.1% and 4.9%, respectively. Selecting another discount rate within the range used in the discounted cash flow model would not result in a significant change to the fair value of the ARS.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2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Based on this assessment of fair value, as of December 31, 2013, the Company determined there was a decline in the fair value of its ARS investments of approximately $1.5 million. The decline was deemed to be a temporary impairment and recorded as an unrealized loss in accumulated other comprehensive loss in stockholders’ equity. In addition, while a majority of the ARS are currently rated AAA, if the issuers are unable to successfully close future auctions and/or their credit ratings deteriorate, the Company may be required to record additional unrealized losses in accumulated other comprehensive loss or an other-than-temporary impairment charge to earnings on these investments.</w:t>
      </w:r>
    </w:p>
    <w:p>
      <w:pPr>
        <w:spacing w:after="0" w:line="18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As of December 31, 2013, the Company held Level 3 liabilities for deferred consideration that it acquired as a result of the April 30, 2012 acquisition of LoopNet. The deferred consideration totaled $1.3 million as of December 31, 2013 and included deferred cash payments in connection with acquisitions LoopNet completed in 2010 including: (i) deferred cash payments due to the sellers of LandsofAmerica.com, LLC ("LandsofAmerica") on March 31, 2014 based on LandsofAmerica's achievement of financial and operational milestones, resulting in undiscounted deferred consideration as of December 31, 2013 of approximately $1.0 million; and (ii) deferred cash payments due to the sellers of Reaction Corp. ("Reaction Web") on March 31, 2014 based on Reaction Web's achievement of revenue milestones, resulting in undiscounted deferred consideration as of December 31, 2013 of approximately $344,000. On March 28, 2013, the Company made a payment of $1.0 million to the sellers of LandsofAmerica based on the achievement of financial and operational milestones in 2012 and a payment of approximately $344,000 to the sellers of Reaction Web based on the achievement of revenue milestones in 2012.</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changes in fair value of the Company’s Level 3 liabilities from December 31, 2011 to December 31, 2013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Deferred</w:t>
            </w:r>
          </w:p>
        </w:tc>
      </w:tr>
      <w:tr>
        <w:trPr>
          <w:trHeight w:val="234"/>
        </w:trPr>
        <w:tc>
          <w:tcPr>
            <w:tcW w:w="9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Consideration</w:t>
            </w:r>
          </w:p>
        </w:tc>
      </w:tr>
      <w:tr>
        <w:trPr>
          <w:trHeight w:val="27"/>
        </w:trPr>
        <w:tc>
          <w:tcPr>
            <w:tcW w:w="9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Deferred consideration upon acquisition</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2,011</w:t>
            </w:r>
          </w:p>
        </w:tc>
      </w:tr>
      <w:tr>
        <w:trPr>
          <w:trHeight w:val="27"/>
        </w:trPr>
        <w:tc>
          <w:tcPr>
            <w:tcW w:w="9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Accretion for 2012</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w:t>
            </w:r>
          </w:p>
        </w:tc>
      </w:tr>
      <w:tr>
        <w:trPr>
          <w:trHeight w:val="237"/>
        </w:trPr>
        <w:tc>
          <w:tcPr>
            <w:tcW w:w="9920" w:type="dxa"/>
            <w:vAlign w:val="bottom"/>
          </w:tcPr>
          <w:p>
            <w:pPr>
              <w:ind w:left="40"/>
              <w:spacing w:after="0"/>
              <w:rPr>
                <w:sz w:val="20"/>
                <w:szCs w:val="20"/>
                <w:color w:val="auto"/>
              </w:rPr>
            </w:pPr>
            <w:r>
              <w:rPr>
                <w:rFonts w:ascii="Arial" w:cs="Arial" w:eastAsia="Arial" w:hAnsi="Arial"/>
                <w:sz w:val="18"/>
                <w:szCs w:val="18"/>
                <w:color w:val="auto"/>
              </w:rPr>
              <w:t>Balance at December 31, 2012</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2,304</w:t>
            </w:r>
          </w:p>
        </w:tc>
      </w:tr>
      <w:tr>
        <w:trPr>
          <w:trHeight w:val="27"/>
        </w:trPr>
        <w:tc>
          <w:tcPr>
            <w:tcW w:w="9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Accretion for 2013</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Payments made in 2013</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(1,344)</w:t>
            </w:r>
          </w:p>
        </w:tc>
      </w:tr>
      <w:tr>
        <w:trPr>
          <w:trHeight w:val="27"/>
        </w:trPr>
        <w:tc>
          <w:tcPr>
            <w:tcW w:w="9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1,344</w:t>
            </w:r>
          </w:p>
        </w:tc>
      </w:tr>
      <w:tr>
        <w:trPr>
          <w:trHeight w:val="20"/>
        </w:trPr>
        <w:tc>
          <w:tcPr>
            <w:tcW w:w="9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used a discounted cash flow model to determine the estimated fair value of its Level 3 liabilities. The assumptions used in preparing the discounted cash flow model include the discount rate and probabilities for completion of financial and operational milestones.</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only significant unobservable input in the discounted cash flow model used to determine the estimated fair value of the Company's Level 3 liabilities is the discount rate. The discount rate used represents LoopNet's cost of equity at the time of each acquisition plus a margin for counterparty risk. The weighted average discount rate used as of December 31, 2012 was approximately 23.5%. As of December 31, 2013, the Company recorded a liability for the entire amount of undiscounted deferred consideration to be paid on March 31, 2014. Selecting another discount rate within the range used in the discounted cash flow model in 2012 would not result in a significant change to the fair value of the deferred consideration.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2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2013</w:t>
            </w: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28,527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36,933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Furniture, office equipment and research vehicles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25,837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27,395</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36,688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36,391</w:t>
            </w:r>
          </w:p>
        </w:tc>
      </w:tr>
      <w:tr>
        <w:trPr>
          <w:trHeight w:val="237"/>
        </w:trPr>
        <w:tc>
          <w:tcPr>
            <w:tcW w:w="83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91,052</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100,719</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(44,744)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(43,000)</w:t>
            </w: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46,308</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57,719</w:t>
            </w:r>
          </w:p>
        </w:tc>
      </w:tr>
      <w:tr>
        <w:trPr>
          <w:trHeight w:val="20"/>
        </w:trPr>
        <w:tc>
          <w:tcPr>
            <w:tcW w:w="8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expense for property and equipment was approximately $8.4 million, $10.1 million and $12.5 million for the years ended December 31, 2011, 2012 and 2013, respectively.</w:t>
      </w:r>
    </w:p>
    <w:p>
      <w:pPr>
        <w:spacing w:after="0" w:line="166"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the carrying amount of goodwill by operating segment consist of the following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United States</w:t>
            </w: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International</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December 31, 2011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67,465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91,784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Acquisitions</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625,174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625,174</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foreign currency translation</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Goodwill, December 31, 2012</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692,639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25,439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718,078</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foreign currency translation</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Goodwill, December 31, 2013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692,639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25,948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718,587</w:t>
            </w:r>
          </w:p>
        </w:tc>
      </w:tr>
      <w:tr>
        <w:trPr>
          <w:trHeight w:val="20"/>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recorded goodwill of approximately $625.2 million in connection with the April 30, 2012 acquisition of LoopNet.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fourth quarters of 2011, 2012 and 2013, the Company completed the annual impairment test of goodwill and concluded that goodwill was not impaired.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1" w:right="239" w:bottom="1440" w:gutter="0" w:footer="0" w:header="0"/>
        </w:sectPr>
      </w:pPr>
    </w:p>
    <w:bookmarkStart w:id="78" w:name="page79"/>
    <w:bookmarkEnd w:id="78"/>
    <w:p>
      <w:pPr>
        <w:jc w:val="center"/>
        <w:ind w:left="1580"/>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ind w:left="1580"/>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INTANGIBLES AND OTHER ASSETS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Intangibles and other assets consist of the following (in thousands, except amortization period data):</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r>
      <w:tr>
        <w:trPr>
          <w:trHeight w:val="27"/>
        </w:trPr>
        <w:tc>
          <w:tcPr>
            <w:tcW w:w="6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547"/>
        </w:trPr>
        <w:tc>
          <w:tcPr>
            <w:tcW w:w="6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2013</w:t>
            </w:r>
          </w:p>
        </w:tc>
      </w:tr>
      <w:tr>
        <w:trPr>
          <w:trHeight w:val="27"/>
        </w:trPr>
        <w:tc>
          <w:tcPr>
            <w:tcW w:w="6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700" w:type="dxa"/>
            <w:vAlign w:val="bottom"/>
          </w:tcPr>
          <w:p>
            <w:pPr>
              <w:spacing w:after="0"/>
              <w:rPr>
                <w:sz w:val="20"/>
                <w:szCs w:val="20"/>
                <w:color w:val="auto"/>
              </w:rPr>
            </w:pPr>
            <w:r>
              <w:rPr>
                <w:rFonts w:ascii="Arial" w:cs="Arial" w:eastAsia="Arial" w:hAnsi="Arial"/>
                <w:sz w:val="18"/>
                <w:szCs w:val="18"/>
                <w:color w:val="auto"/>
              </w:rPr>
              <w:t>Capitalized product development cost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2,140</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2,140</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(2,029)</w:t>
            </w:r>
          </w:p>
        </w:tc>
      </w:tr>
      <w:tr>
        <w:trPr>
          <w:trHeight w:val="27"/>
        </w:trPr>
        <w:tc>
          <w:tcPr>
            <w:tcW w:w="6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700" w:type="dxa"/>
            <w:vAlign w:val="bottom"/>
          </w:tcPr>
          <w:p>
            <w:pPr>
              <w:spacing w:after="0"/>
              <w:rPr>
                <w:sz w:val="20"/>
                <w:szCs w:val="20"/>
                <w:color w:val="auto"/>
              </w:rPr>
            </w:pPr>
            <w:r>
              <w:rPr>
                <w:rFonts w:ascii="Arial" w:cs="Arial" w:eastAsia="Arial" w:hAnsi="Arial"/>
                <w:sz w:val="18"/>
                <w:szCs w:val="18"/>
                <w:color w:val="auto"/>
              </w:rPr>
              <w:t>Capitalized product development cost, net</w:t>
            </w:r>
          </w:p>
        </w:tc>
        <w:tc>
          <w:tcPr>
            <w:tcW w:w="3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7"/>
        </w:trPr>
        <w:tc>
          <w:tcPr>
            <w:tcW w:w="6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-539750</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Weighted-</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Average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7"/>
          <w:szCs w:val="17"/>
          <w:b w:val="1"/>
          <w:bCs w:val="1"/>
          <w:color w:val="auto"/>
        </w:rPr>
        <w:t>Amortization</w:t>
      </w:r>
    </w:p>
    <w:p>
      <w:pPr>
        <w:spacing w:after="0" w:line="21"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Period</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(in years)</w:t>
      </w:r>
    </w:p>
    <w:p>
      <w:pPr>
        <w:spacing w:after="0" w:line="6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4</w:t>
      </w:r>
    </w:p>
    <w:p>
      <w:pPr>
        <w:spacing w:after="0" w:line="817" w:lineRule="exact"/>
        <w:rPr>
          <w:sz w:val="20"/>
          <w:szCs w:val="20"/>
          <w:color w:val="auto"/>
        </w:rPr>
      </w:pPr>
    </w:p>
    <w:p>
      <w:pPr>
        <w:sectPr>
          <w:pgSz w:w="11900" w:h="16838" w:orient="portrait"/>
          <w:cols w:equalWidth="0" w:num="2">
            <w:col w:w="9840" w:space="320"/>
            <w:col w:w="1260"/>
          </w:cols>
          <w:pgMar w:left="240" w:top="121" w:right="239" w:bottom="1440" w:gutter="0" w:footer="0" w:header="0"/>
        </w:sectPr>
      </w:pP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 photography</w:t>
            </w:r>
          </w:p>
        </w:tc>
        <w:tc>
          <w:tcPr>
            <w:tcW w:w="4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12,474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13,743</w:t>
            </w:r>
          </w:p>
        </w:tc>
        <w:tc>
          <w:tcPr>
            <w:tcW w:w="15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79"/>
              </w:rPr>
              <w:t>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(11,639)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(12,005)</w:t>
            </w:r>
          </w:p>
        </w:tc>
        <w:tc>
          <w:tcPr>
            <w:tcW w:w="1580" w:type="dxa"/>
            <w:vAlign w:val="bottom"/>
          </w:tcPr>
          <w:p>
            <w:pPr>
              <w:spacing w:after="0"/>
              <w:rPr>
                <w:sz w:val="21"/>
                <w:szCs w:val="2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photography, net</w:t>
            </w:r>
          </w:p>
        </w:tc>
        <w:tc>
          <w:tcPr>
            <w:tcW w:w="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1,738</w:t>
            </w:r>
          </w:p>
        </w:tc>
        <w:tc>
          <w:tcPr>
            <w:tcW w:w="1580" w:type="dxa"/>
            <w:vAlign w:val="bottom"/>
            <w:tcBorders>
              <w:bottom w:val="single" w:sz="8" w:color="CCEEFF"/>
            </w:tcBorders>
            <w:shd w:val="clear" w:color="auto" w:fill="CCEEFF"/>
          </w:tcPr>
          <w:p>
            <w:pPr>
              <w:spacing w:after="0"/>
              <w:rPr>
                <w:sz w:val="22"/>
                <w:szCs w:val="22"/>
                <w:color w:val="auto"/>
              </w:rPr>
            </w:pPr>
          </w:p>
        </w:tc>
      </w:tr>
      <w:tr>
        <w:trPr>
          <w:trHeight w:val="291"/>
        </w:trPr>
        <w:tc>
          <w:tcPr>
            <w:tcW w:w="674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database technology</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77,328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77,368</w:t>
            </w:r>
          </w:p>
        </w:tc>
        <w:tc>
          <w:tcPr>
            <w:tcW w:w="15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79"/>
              </w:rPr>
              <w:t>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(29,673)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(41,073)</w:t>
            </w:r>
          </w:p>
        </w:tc>
        <w:tc>
          <w:tcPr>
            <w:tcW w:w="1580" w:type="dxa"/>
            <w:vAlign w:val="bottom"/>
          </w:tcPr>
          <w:p>
            <w:pPr>
              <w:spacing w:after="0"/>
              <w:rPr>
                <w:sz w:val="21"/>
                <w:szCs w:val="2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database technology, net</w:t>
            </w:r>
          </w:p>
        </w:tc>
        <w:tc>
          <w:tcPr>
            <w:tcW w:w="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47,655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36,295</w:t>
            </w:r>
          </w:p>
        </w:tc>
        <w:tc>
          <w:tcPr>
            <w:tcW w:w="1580" w:type="dxa"/>
            <w:vAlign w:val="bottom"/>
            <w:tcBorders>
              <w:bottom w:val="single" w:sz="8" w:color="CCEEFF"/>
            </w:tcBorders>
            <w:shd w:val="clear" w:color="auto" w:fill="CCEEFF"/>
          </w:tcPr>
          <w:p>
            <w:pPr>
              <w:spacing w:after="0"/>
              <w:rPr>
                <w:sz w:val="22"/>
                <w:szCs w:val="22"/>
                <w:color w:val="auto"/>
              </w:rPr>
            </w:pPr>
          </w:p>
        </w:tc>
      </w:tr>
      <w:tr>
        <w:trPr>
          <w:trHeight w:val="291"/>
        </w:trPr>
        <w:tc>
          <w:tcPr>
            <w:tcW w:w="674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customer base</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130,683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130,960</w:t>
            </w:r>
          </w:p>
        </w:tc>
        <w:tc>
          <w:tcPr>
            <w:tcW w:w="158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10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(59,218)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(74,734)</w:t>
            </w:r>
          </w:p>
        </w:tc>
        <w:tc>
          <w:tcPr>
            <w:tcW w:w="1580" w:type="dxa"/>
            <w:vAlign w:val="bottom"/>
          </w:tcPr>
          <w:p>
            <w:pPr>
              <w:spacing w:after="0"/>
              <w:rPr>
                <w:sz w:val="21"/>
                <w:szCs w:val="2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customer base, net</w:t>
            </w:r>
          </w:p>
        </w:tc>
        <w:tc>
          <w:tcPr>
            <w:tcW w:w="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71,465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56,226</w:t>
            </w:r>
          </w:p>
        </w:tc>
        <w:tc>
          <w:tcPr>
            <w:tcW w:w="1580" w:type="dxa"/>
            <w:vAlign w:val="bottom"/>
            <w:tcBorders>
              <w:bottom w:val="single" w:sz="8" w:color="CCEEFF"/>
            </w:tcBorders>
            <w:shd w:val="clear" w:color="auto" w:fill="CCEEFF"/>
          </w:tcPr>
          <w:p>
            <w:pPr>
              <w:spacing w:after="0"/>
              <w:rPr>
                <w:sz w:val="22"/>
                <w:szCs w:val="22"/>
                <w:color w:val="auto"/>
              </w:rPr>
            </w:pPr>
          </w:p>
        </w:tc>
      </w:tr>
      <w:tr>
        <w:trPr>
          <w:trHeight w:val="291"/>
        </w:trPr>
        <w:tc>
          <w:tcPr>
            <w:tcW w:w="674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Acquired trade names and other </w:t>
            </w:r>
            <w:r>
              <w:rPr>
                <w:rFonts w:ascii="Arial" w:cs="Arial" w:eastAsia="Arial" w:hAnsi="Arial"/>
                <w:sz w:val="25"/>
                <w:szCs w:val="25"/>
                <w:color w:val="auto"/>
                <w:vertAlign w:val="superscript"/>
              </w:rPr>
              <w:t>(1)</w:t>
            </w:r>
          </w:p>
        </w:tc>
        <w:tc>
          <w:tcPr>
            <w:tcW w:w="4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59,255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59,336</w:t>
            </w:r>
          </w:p>
        </w:tc>
        <w:tc>
          <w:tcPr>
            <w:tcW w:w="15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79"/>
              </w:rPr>
              <w:t>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(8,880)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(9,234)</w:t>
            </w:r>
          </w:p>
        </w:tc>
        <w:tc>
          <w:tcPr>
            <w:tcW w:w="1580" w:type="dxa"/>
            <w:vAlign w:val="bottom"/>
          </w:tcPr>
          <w:p>
            <w:pPr>
              <w:spacing w:after="0"/>
              <w:rPr>
                <w:sz w:val="21"/>
                <w:szCs w:val="2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trade names and other, net</w:t>
            </w:r>
          </w:p>
        </w:tc>
        <w:tc>
          <w:tcPr>
            <w:tcW w:w="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50,375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50,102</w:t>
            </w:r>
          </w:p>
        </w:tc>
        <w:tc>
          <w:tcPr>
            <w:tcW w:w="1580" w:type="dxa"/>
            <w:vAlign w:val="bottom"/>
            <w:tcBorders>
              <w:bottom w:val="single" w:sz="8" w:color="CCEEFF"/>
            </w:tcBorders>
            <w:shd w:val="clear" w:color="auto" w:fill="CCEEFF"/>
          </w:tcPr>
          <w:p>
            <w:pPr>
              <w:spacing w:after="0"/>
              <w:rPr>
                <w:sz w:val="22"/>
                <w:szCs w:val="22"/>
                <w:color w:val="auto"/>
              </w:rPr>
            </w:pPr>
          </w:p>
        </w:tc>
      </w:tr>
      <w:tr>
        <w:trPr>
          <w:trHeight w:val="291"/>
        </w:trPr>
        <w:tc>
          <w:tcPr>
            <w:tcW w:w="674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 and other assets, net</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170,632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144,472</w:t>
            </w:r>
          </w:p>
        </w:tc>
        <w:tc>
          <w:tcPr>
            <w:tcW w:w="1580" w:type="dxa"/>
            <w:vAlign w:val="bottom"/>
            <w:tcBorders>
              <w:bottom w:val="single" w:sz="8" w:color="CCEEFF"/>
            </w:tcBorders>
            <w:shd w:val="clear" w:color="auto" w:fill="CCEEFF"/>
          </w:tcPr>
          <w:p>
            <w:pPr>
              <w:spacing w:after="0"/>
              <w:rPr>
                <w:sz w:val="22"/>
                <w:szCs w:val="22"/>
                <w:color w:val="auto"/>
              </w:rPr>
            </w:pPr>
          </w:p>
        </w:tc>
      </w:tr>
      <w:tr>
        <w:trPr>
          <w:trHeight w:val="20"/>
        </w:trPr>
        <w:tc>
          <w:tcPr>
            <w:tcW w:w="6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hanging="8"/>
        <w:spacing w:after="0" w:line="216" w:lineRule="auto"/>
        <w:tabs>
          <w:tab w:leader="none" w:pos="539"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The weighted-average amortization period for acquired trade names excludes $48.7 million for acquired trade names recorded in connection with the LoopNet acquisition on April 30, 2012, which amount is not amortized, but is subject to annual impairment tests.</w:t>
      </w:r>
    </w:p>
    <w:p>
      <w:pPr>
        <w:spacing w:after="0" w:line="20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Amortization expense for intangibles and other assets was approximately $4.4 million, $22.7 million and $27.6 million for the years ended December 31, 2011, 2012 and 2013, respectively.</w:t>
      </w:r>
    </w:p>
    <w:p>
      <w:pPr>
        <w:spacing w:after="0" w:line="170"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In the aggregate, amortization for intangibles and other assets existing as of December 31, 2013 for future periods is expected to be approximately $23.5 million, $20.8 million, $18.9 million, $10.0 million and $5.1 million for the years ending December 31, 2014, 2015, 2016, 2017 and 2018, respectively.</w:t>
      </w:r>
    </w:p>
    <w:p>
      <w:pPr>
        <w:spacing w:after="0" w:line="12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During the fourth quarter of 2013, the Company completed the annual impairment test of the acquired trade name recorded in connection with the LoopNet acquisition and concluded that this indefinite-lived intangible asset was not impaired.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1" w:right="239" w:bottom="144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February 16, 2012, the Company entered into a term loan facility and revolving credit facility pursuant to the Credit Agreement dated February 16, 2012, by and among the Company, as borrower, CoStar Realty Information, Inc. ("CoStar Realty"), as co-borrower, J.P. Morgan Bank, as administrative agent, and the other lenders thereto. The Credit Agreement provides for a $175.0 million term loan facility and a $50.0 million revolving credit facility, each with a term of five years. On April 30, 2012, the Company borrowed $175.0 million under the term loan facility and used those proceeds, together with net proceeds from the Company's equity offering conducted in June 2011, to pay a portion of the merger consideration and transaction costs related to the LoopNet merger. The carrying value of the term loan facility approximates fair value and can be estimated through Level 3 unobservable inputs using an expected present value technique based on expected cash flows discounted using the current credit-adjusted risk-free rate, which approximates the rate of interest on the term loan facility at the origination.</w:t>
      </w:r>
    </w:p>
    <w:p>
      <w:pPr>
        <w:spacing w:after="0" w:line="19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revolving credit facility includes a subfacility for swingline loans of up to $5.0 million and up to $10.0 million of the revolving credit facility is available for the issuances of letters of credit. The term loan facility amortizes in quarterly installments in amounts resulting in an annual amortization of 5% during the first year, 10% during the second year, 15% during the third year, 20% during the fourth year and 50% during the fifth year after the closing date. The loans under the Credit Agreement bear interest, at the Company's option, either (i) during any interest period selected by the Company, at the London interbank offered rate for deposits in U.S. dollars with a maturity comparable to such interest period, adjusted for statutory reserves (“LIBOR”), plus a spread of 2.00% per annum, or (ii) at the greatest of (x) the prime rate from time to time announced by J.P. Morgan Bank, (y) the federal funds effective rate plus ½ of 1.00% and (z) LIBOR for a one-month interest period plus 1.00%, plus a spread of 1.00% per annum. If an event of default occurs under the Credit Agreement, the interest rate on overdue amounts will increase by 2.00% per annum. The obligations under the Credit Agreement are guaranteed by all material subsidiaries of the Company and secured by a lien on substantially all of the assets of the Company and its material subsidiaries, in each case subject to certain exceptions.</w:t>
      </w:r>
    </w:p>
    <w:p>
      <w:pPr>
        <w:spacing w:after="0" w:line="17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Credit Agreement requires the Company to maintain a Debt Service Coverage Ratio (as defined in the Credit Agreement) of at least 1.5 to 1.0 and a Total Leverage Ratio (as defined in the Credit Agreement) that does not exceed 2.75 to 1.00 during each of the three months ending December 31, 2013, March 31, 2014 and June 30, 2014; and 2.50 to 1.00 thereafter. The Credit Agreement also includes other covenants that were effective as of April 30, 2012, including covenants that, subject to certain exceptions, restrict the ability of the Company and its subsidiaries (i) to incur additional indebtedness, (ii) to create, incur, assume or permit to exist any liens, (iii) to enter into mergers, consolidations or similar transactions, (iv) to make investments and acquisitions,</w:t>
      </w:r>
    </w:p>
    <w:p>
      <w:pPr>
        <w:spacing w:after="0" w:line="2" w:lineRule="exact"/>
        <w:rPr>
          <w:sz w:val="20"/>
          <w:szCs w:val="20"/>
          <w:color w:val="auto"/>
        </w:rPr>
      </w:pPr>
    </w:p>
    <w:p>
      <w:pPr>
        <w:ind w:firstLine="8"/>
        <w:spacing w:after="0" w:line="261" w:lineRule="auto"/>
        <w:tabs>
          <w:tab w:leader="none" w:pos="28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make certain dispositions of assets, (vi) to make dividends, distributions and prepayments of certain indebtedness, and (vii) to enter into certain transactions with affiliates. The Company was in compliance with the covenants in the Credit Agreement as of December 31, 2013.</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Commencing with the fiscal year ended December 31, 2012, the Credit Agreement requires the Company to make an annual prepayment of the term loan facility equal to a percentage of Excess Cash Flow (as defined in the Credit Agreement) to reduce the principal amount outstanding under the term loan facility. The prepayment percentage is 50% when the Total Leverage Ratio exceeds 3.00 to 1.00; 25% when the Total Leverage Ratio is greater than 2.50 to 1.00 but equal to or less than 3.00 to 1.00; and 0% when the Total Leverage Ratio is equal to or less than 2.50 to 1.00. This prepayment requirement is reduced by the amount of prior voluntary prepayments during the respective fiscal year, subject to certain exceptions set forth in the Credit Agreement. The Excess Cash Flow payment, if required, is due within ten business days of the date on which the annual financial statements are delivered or required to be delivered to the lenders pursuant to the Credit Agreement. For the fiscal year ended December 31, 2013, the Company was not required to make an Excess Cash Flow payment.</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obtaining the term loan facility and revolving credit facility, the Company incurred approximately $11.5 million in debt issuance costs, which were capitalized and are being amortized as interest expense over the term of the Credit Agreement using the effective interest method. The debt issuance costs are comprised of approximately $9.2 million in underwriting fees and approximately $2.3 million primarily related to legal fees associated with the debt issuance.</w:t>
      </w:r>
    </w:p>
    <w:p>
      <w:pPr>
        <w:spacing w:after="0" w:line="18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As of December 31, 2012 and 2013, no amounts were outstanding under the revolving credit facility. Total interest expense for the term loan facility was approximately $0, $4.8 million and $6.9 million for the years ended December 31, 2011, 2012 and 2013, respectively. Interest expense included amortized debt issuance costs of approximately $0, $2.0 million and $3.0 million for the years ended December 31, 2011, 2012 and 2013, respectively. Total interest paid for the term loan facility was approximately $0, $2.5 million and $4.3 million for the years ended December 31, 2011, 2012 and 2013,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 (CONTINUED)</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Maturities of the Company's borrowings under the Credit Agreement for each of the next four years as of December 31, 2013 are as follows (in thousands):</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020" w:type="dxa"/>
            <w:vAlign w:val="bottom"/>
          </w:tcPr>
          <w:p>
            <w:pPr>
              <w:jc w:val="right"/>
              <w:ind w:right="7890"/>
              <w:spacing w:after="0"/>
              <w:rPr>
                <w:sz w:val="20"/>
                <w:szCs w:val="20"/>
                <w:color w:val="auto"/>
              </w:rPr>
            </w:pPr>
            <w:r>
              <w:rPr>
                <w:rFonts w:ascii="Arial" w:cs="Arial" w:eastAsia="Arial" w:hAnsi="Arial"/>
                <w:sz w:val="18"/>
                <w:szCs w:val="18"/>
                <w:b w:val="1"/>
                <w:bCs w:val="1"/>
                <w:color w:val="auto"/>
                <w:w w:val="89"/>
              </w:rPr>
              <w:t>Year ending December 31,</w:t>
            </w:r>
          </w:p>
        </w:tc>
        <w:tc>
          <w:tcPr>
            <w:tcW w:w="200" w:type="dxa"/>
            <w:vAlign w:val="bottom"/>
          </w:tcPr>
          <w:p>
            <w:pPr>
              <w:spacing w:after="0"/>
              <w:rPr>
                <w:sz w:val="20"/>
                <w:szCs w:val="20"/>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Maturities</w:t>
            </w:r>
          </w:p>
        </w:tc>
      </w:tr>
      <w:tr>
        <w:trPr>
          <w:trHeight w:val="27"/>
        </w:trPr>
        <w:tc>
          <w:tcPr>
            <w:tcW w:w="10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10020" w:type="dxa"/>
            <w:vAlign w:val="bottom"/>
          </w:tcPr>
          <w:p>
            <w:pPr>
              <w:ind w:left="360"/>
              <w:spacing w:after="0"/>
              <w:rPr>
                <w:sz w:val="20"/>
                <w:szCs w:val="20"/>
                <w:color w:val="auto"/>
              </w:rPr>
            </w:pPr>
            <w:r>
              <w:rPr>
                <w:rFonts w:ascii="Arial" w:cs="Arial" w:eastAsia="Arial" w:hAnsi="Arial"/>
                <w:sz w:val="18"/>
                <w:szCs w:val="18"/>
                <w:color w:val="auto"/>
              </w:rPr>
              <w:t>Due in:</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10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jc w:val="right"/>
              <w:ind w:right="889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24,063</w:t>
            </w:r>
          </w:p>
        </w:tc>
      </w:tr>
      <w:tr>
        <w:trPr>
          <w:trHeight w:val="243"/>
        </w:trPr>
        <w:tc>
          <w:tcPr>
            <w:tcW w:w="10020" w:type="dxa"/>
            <w:vAlign w:val="bottom"/>
          </w:tcPr>
          <w:p>
            <w:pPr>
              <w:jc w:val="right"/>
              <w:ind w:right="889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32,812</w:t>
            </w:r>
          </w:p>
        </w:tc>
      </w:tr>
      <w:tr>
        <w:trPr>
          <w:trHeight w:val="27"/>
        </w:trPr>
        <w:tc>
          <w:tcPr>
            <w:tcW w:w="10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jc w:val="right"/>
              <w:ind w:right="8890"/>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61,250</w:t>
            </w:r>
          </w:p>
        </w:tc>
      </w:tr>
      <w:tr>
        <w:trPr>
          <w:trHeight w:val="243"/>
        </w:trPr>
        <w:tc>
          <w:tcPr>
            <w:tcW w:w="10020" w:type="dxa"/>
            <w:vAlign w:val="bottom"/>
          </w:tcPr>
          <w:p>
            <w:pPr>
              <w:jc w:val="right"/>
              <w:ind w:right="889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35,000</w:t>
            </w:r>
          </w:p>
        </w:tc>
      </w:tr>
      <w:tr>
        <w:trPr>
          <w:trHeight w:val="27"/>
        </w:trPr>
        <w:tc>
          <w:tcPr>
            <w:tcW w:w="10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10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debt, including current maturities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153,125</w:t>
            </w:r>
          </w:p>
        </w:tc>
      </w:tr>
      <w:tr>
        <w:trPr>
          <w:trHeight w:val="20"/>
        </w:trPr>
        <w:tc>
          <w:tcPr>
            <w:tcW w:w="10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3680" w:type="dxa"/>
            <w:vAlign w:val="bottom"/>
          </w:tcPr>
          <w:p>
            <w:pPr>
              <w:ind w:left="380"/>
              <w:spacing w:after="0"/>
              <w:rPr>
                <w:sz w:val="20"/>
                <w:szCs w:val="20"/>
                <w:color w:val="auto"/>
              </w:rPr>
            </w:pPr>
            <w:r>
              <w:rPr>
                <w:rFonts w:ascii="Arial" w:cs="Arial" w:eastAsia="Arial" w:hAnsi="Arial"/>
                <w:sz w:val="18"/>
                <w:szCs w:val="18"/>
                <w:b w:val="1"/>
                <w:bCs w:val="1"/>
                <w:color w:val="auto"/>
              </w:rPr>
              <w:t>INCOME TAXES</w:t>
            </w:r>
          </w:p>
        </w:tc>
        <w:tc>
          <w:tcPr>
            <w:tcW w:w="2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9660" w:type="dxa"/>
            <w:vAlign w:val="bottom"/>
            <w:gridSpan w:val="8"/>
          </w:tcPr>
          <w:p>
            <w:pPr>
              <w:ind w:left="60"/>
              <w:spacing w:after="0"/>
              <w:rPr>
                <w:sz w:val="20"/>
                <w:szCs w:val="20"/>
                <w:color w:val="auto"/>
              </w:rPr>
            </w:pPr>
            <w:r>
              <w:rPr>
                <w:rFonts w:ascii="Arial" w:cs="Arial" w:eastAsia="Arial" w:hAnsi="Arial"/>
                <w:sz w:val="18"/>
                <w:szCs w:val="18"/>
                <w:color w:val="auto"/>
                <w:w w:val="97"/>
              </w:rPr>
              <w:t>The components of the provision (benefit) for income taxes attributable to operations consist of the following (in thousands):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3960" w:type="dxa"/>
            <w:vAlign w:val="bottom"/>
            <w:gridSpan w:val="2"/>
            <w:vMerge w:val="restart"/>
          </w:tcPr>
          <w:p>
            <w:pPr>
              <w:ind w:left="40"/>
              <w:spacing w:after="0"/>
              <w:rPr>
                <w:sz w:val="20"/>
                <w:szCs w:val="20"/>
                <w:color w:val="auto"/>
              </w:rPr>
            </w:pPr>
            <w:r>
              <w:rPr>
                <w:rFonts w:ascii="Arial" w:cs="Arial" w:eastAsia="Arial" w:hAnsi="Arial"/>
                <w:sz w:val="18"/>
                <w:szCs w:val="18"/>
                <w:color w:val="auto"/>
              </w:rPr>
              <w:t>Current:</w:t>
            </w:r>
          </w:p>
        </w:tc>
        <w:tc>
          <w:tcPr>
            <w:tcW w:w="2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60" w:type="dxa"/>
            <w:vAlign w:val="bottom"/>
            <w:gridSpan w:val="2"/>
            <w:vMerge w:val="continue"/>
          </w:tcPr>
          <w:p>
            <w:pPr>
              <w:spacing w:after="0"/>
              <w:rPr>
                <w:sz w:val="20"/>
                <w:szCs w:val="20"/>
                <w:color w:val="auto"/>
              </w:rPr>
            </w:pPr>
          </w:p>
        </w:tc>
        <w:tc>
          <w:tcPr>
            <w:tcW w:w="2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Federal</w:t>
            </w:r>
          </w:p>
        </w:tc>
        <w:tc>
          <w:tcPr>
            <w:tcW w:w="3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26,516</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3680" w:type="dxa"/>
            <w:vAlign w:val="bottom"/>
          </w:tcPr>
          <w:p>
            <w:pPr>
              <w:ind w:left="100"/>
              <w:spacing w:after="0"/>
              <w:rPr>
                <w:sz w:val="20"/>
                <w:szCs w:val="20"/>
                <w:color w:val="auto"/>
              </w:rPr>
            </w:pPr>
            <w:r>
              <w:rPr>
                <w:rFonts w:ascii="Arial" w:cs="Arial" w:eastAsia="Arial" w:hAnsi="Arial"/>
                <w:sz w:val="18"/>
                <w:szCs w:val="18"/>
                <w:color w:val="auto"/>
              </w:rPr>
              <w:t>State</w:t>
            </w:r>
          </w:p>
        </w:tc>
        <w:tc>
          <w:tcPr>
            <w:tcW w:w="2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3,996</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 w:type="dxa"/>
            <w:vAlign w:val="bottom"/>
            <w:tcBorders>
              <w:bottom w:val="single" w:sz="8" w:color="CCEEFF"/>
            </w:tcBorders>
            <w:shd w:val="clear" w:color="auto" w:fill="CCEEFF"/>
          </w:tcPr>
          <w:p>
            <w:pPr>
              <w:spacing w:after="0"/>
              <w:rPr>
                <w:sz w:val="23"/>
                <w:szCs w:val="23"/>
                <w:color w:val="auto"/>
              </w:rPr>
            </w:pPr>
          </w:p>
        </w:tc>
        <w:tc>
          <w:tcPr>
            <w:tcW w:w="3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Foreign</w:t>
            </w:r>
          </w:p>
        </w:tc>
        <w:tc>
          <w:tcPr>
            <w:tcW w:w="27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Total current</w:t>
            </w:r>
          </w:p>
        </w:tc>
        <w:tc>
          <w:tcPr>
            <w:tcW w:w="27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25,017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30,543</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gridSpan w:val="2"/>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2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3680" w:type="dxa"/>
            <w:vAlign w:val="bottom"/>
          </w:tcPr>
          <w:p>
            <w:pPr>
              <w:ind w:left="100"/>
              <w:spacing w:after="0"/>
              <w:rPr>
                <w:sz w:val="20"/>
                <w:szCs w:val="20"/>
                <w:color w:val="auto"/>
              </w:rPr>
            </w:pPr>
            <w:r>
              <w:rPr>
                <w:rFonts w:ascii="Arial" w:cs="Arial" w:eastAsia="Arial" w:hAnsi="Arial"/>
                <w:sz w:val="18"/>
                <w:szCs w:val="18"/>
                <w:color w:val="auto"/>
              </w:rPr>
              <w:t>Federal</w:t>
            </w:r>
          </w:p>
        </w:tc>
        <w:tc>
          <w:tcPr>
            <w:tcW w:w="2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15,512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(10,919)</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State</w:t>
            </w:r>
          </w:p>
        </w:tc>
        <w:tc>
          <w:tcPr>
            <w:tcW w:w="2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3680" w:type="dxa"/>
            <w:vAlign w:val="bottom"/>
          </w:tcPr>
          <w:p>
            <w:pPr>
              <w:ind w:left="100"/>
              <w:spacing w:after="0"/>
              <w:rPr>
                <w:sz w:val="20"/>
                <w:szCs w:val="20"/>
                <w:color w:val="auto"/>
              </w:rPr>
            </w:pPr>
            <w:r>
              <w:rPr>
                <w:rFonts w:ascii="Arial" w:cs="Arial" w:eastAsia="Arial" w:hAnsi="Arial"/>
                <w:sz w:val="18"/>
                <w:szCs w:val="18"/>
                <w:color w:val="auto"/>
              </w:rPr>
              <w:t>Foreign</w:t>
            </w:r>
          </w:p>
        </w:tc>
        <w:tc>
          <w:tcPr>
            <w:tcW w:w="2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gridSpan w:val="2"/>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deferred</w:t>
            </w:r>
          </w:p>
        </w:tc>
        <w:tc>
          <w:tcPr>
            <w:tcW w:w="27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(17,104)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(12,740)</w:t>
            </w:r>
          </w:p>
        </w:tc>
        <w:tc>
          <w:tcPr>
            <w:tcW w:w="0" w:type="dxa"/>
            <w:vAlign w:val="bottom"/>
          </w:tcPr>
          <w:p>
            <w:pPr>
              <w:spacing w:after="0"/>
              <w:rPr>
                <w:sz w:val="1"/>
                <w:szCs w:val="1"/>
                <w:color w:val="auto"/>
              </w:rPr>
            </w:pPr>
          </w:p>
        </w:tc>
      </w:tr>
      <w:tr>
        <w:trPr>
          <w:trHeight w:val="257"/>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Total provision for income taxes</w:t>
            </w:r>
          </w:p>
        </w:tc>
        <w:tc>
          <w:tcPr>
            <w:tcW w:w="27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7,913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13,219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17,803</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140" w:type="dxa"/>
            <w:vAlign w:val="bottom"/>
            <w:gridSpan w:val="2"/>
          </w:tcPr>
          <w:p>
            <w:pPr>
              <w:jc w:val="right"/>
              <w:ind w:right="1130"/>
              <w:spacing w:after="0"/>
              <w:rPr>
                <w:sz w:val="20"/>
                <w:szCs w:val="20"/>
                <w:color w:val="auto"/>
              </w:rPr>
            </w:pPr>
            <w:r>
              <w:rPr>
                <w:rFonts w:ascii="Arial" w:cs="Arial" w:eastAsia="Arial" w:hAnsi="Arial"/>
                <w:sz w:val="18"/>
                <w:szCs w:val="18"/>
                <w:color w:val="auto"/>
              </w:rPr>
              <w:t>F-24</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8060" w:type="dxa"/>
            <w:vAlign w:val="bottom"/>
          </w:tcPr>
          <w:p>
            <w:pPr>
              <w:ind w:left="380"/>
              <w:spacing w:after="0"/>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8060" w:type="dxa"/>
            <w:vAlign w:val="bottom"/>
          </w:tcPr>
          <w:p>
            <w:pPr>
              <w:ind w:left="60"/>
              <w:spacing w:after="0"/>
              <w:rPr>
                <w:sz w:val="20"/>
                <w:szCs w:val="20"/>
                <w:color w:val="auto"/>
              </w:rPr>
            </w:pPr>
            <w:r>
              <w:rPr>
                <w:rFonts w:ascii="Arial" w:cs="Arial" w:eastAsia="Arial" w:hAnsi="Arial"/>
                <w:sz w:val="18"/>
                <w:szCs w:val="18"/>
                <w:color w:val="auto"/>
              </w:rPr>
              <w:t>The components of deferred tax assets and liabilities consists of the following (in thousands):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8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8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2013</w:t>
            </w:r>
          </w:p>
        </w:tc>
        <w:tc>
          <w:tcPr>
            <w:tcW w:w="0" w:type="dxa"/>
            <w:vAlign w:val="bottom"/>
          </w:tcPr>
          <w:p>
            <w:pPr>
              <w:spacing w:after="0"/>
              <w:rPr>
                <w:sz w:val="1"/>
                <w:szCs w:val="1"/>
                <w:color w:val="auto"/>
              </w:rPr>
            </w:pPr>
          </w:p>
        </w:tc>
      </w:tr>
      <w:tr>
        <w:trPr>
          <w:trHeight w:val="27"/>
        </w:trPr>
        <w:tc>
          <w:tcPr>
            <w:tcW w:w="8340" w:type="dxa"/>
            <w:vAlign w:val="bottom"/>
            <w:gridSpan w:val="2"/>
            <w:vMerge w:val="restart"/>
          </w:tcPr>
          <w:p>
            <w:pPr>
              <w:ind w:left="40"/>
              <w:spacing w:after="0"/>
              <w:rPr>
                <w:sz w:val="20"/>
                <w:szCs w:val="20"/>
                <w:color w:val="auto"/>
              </w:rPr>
            </w:pPr>
            <w:r>
              <w:rPr>
                <w:rFonts w:ascii="Arial" w:cs="Arial" w:eastAsia="Arial" w:hAnsi="Arial"/>
                <w:sz w:val="18"/>
                <w:szCs w:val="18"/>
                <w:color w:val="auto"/>
              </w:rPr>
              <w:t>Deferred tax assets: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Reserve for bad debts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00"/>
              <w:spacing w:after="0"/>
              <w:rPr>
                <w:sz w:val="20"/>
                <w:szCs w:val="20"/>
                <w:color w:val="auto"/>
              </w:rPr>
            </w:pPr>
            <w:r>
              <w:rPr>
                <w:rFonts w:ascii="Arial" w:cs="Arial" w:eastAsia="Arial" w:hAnsi="Arial"/>
                <w:sz w:val="18"/>
                <w:szCs w:val="18"/>
                <w:color w:val="auto"/>
              </w:rPr>
              <w:t>Accrued compensation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4,830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6,725</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Stock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13,381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00"/>
              <w:spacing w:after="0"/>
              <w:rPr>
                <w:sz w:val="20"/>
                <w:szCs w:val="20"/>
                <w:color w:val="auto"/>
              </w:rPr>
            </w:pPr>
            <w:r>
              <w:rPr>
                <w:rFonts w:ascii="Arial" w:cs="Arial" w:eastAsia="Arial" w:hAnsi="Arial"/>
                <w:sz w:val="18"/>
                <w:szCs w:val="18"/>
                <w:color w:val="auto"/>
              </w:rPr>
              <w:t>Net operating losses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20,431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17,457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Accrued reserve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00"/>
              <w:spacing w:after="0"/>
              <w:rPr>
                <w:sz w:val="20"/>
                <w:szCs w:val="20"/>
                <w:color w:val="auto"/>
              </w:rPr>
            </w:pPr>
            <w:r>
              <w:rPr>
                <w:rFonts w:ascii="Arial" w:cs="Arial" w:eastAsia="Arial" w:hAnsi="Arial"/>
                <w:sz w:val="18"/>
                <w:szCs w:val="18"/>
                <w:color w:val="auto"/>
              </w:rPr>
              <w:t>Unrealized loss on securities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Deferred rent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0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Deferred gain from sale of building</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12,386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11,499</w:t>
            </w: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8060" w:type="dxa"/>
            <w:vAlign w:val="bottom"/>
          </w:tcPr>
          <w:p>
            <w:pPr>
              <w:ind w:left="220"/>
              <w:spacing w:after="0"/>
              <w:rPr>
                <w:sz w:val="20"/>
                <w:szCs w:val="20"/>
                <w:color w:val="auto"/>
              </w:rPr>
            </w:pPr>
            <w:r>
              <w:rPr>
                <w:rFonts w:ascii="Arial" w:cs="Arial" w:eastAsia="Arial" w:hAnsi="Arial"/>
                <w:sz w:val="18"/>
                <w:szCs w:val="18"/>
                <w:color w:val="auto"/>
              </w:rPr>
              <w:t>Total deferred tax assets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53,699</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61,273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80" w:type="dxa"/>
            <w:vAlign w:val="bottom"/>
            <w:shd w:val="clear" w:color="auto" w:fill="CCEEFF"/>
          </w:tcPr>
          <w:p>
            <w:pPr>
              <w:spacing w:after="0"/>
              <w:rPr>
                <w:sz w:val="24"/>
                <w:szCs w:val="24"/>
                <w:color w:val="auto"/>
              </w:rPr>
            </w:pPr>
          </w:p>
        </w:tc>
        <w:tc>
          <w:tcPr>
            <w:tcW w:w="8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Prepaids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0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(3,676)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(6,033)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Intangibles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(62,915)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(55,284)</w:t>
            </w: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8060" w:type="dxa"/>
            <w:vAlign w:val="bottom"/>
          </w:tcPr>
          <w:p>
            <w:pPr>
              <w:ind w:left="22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(68,024)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(62,413)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80" w:type="dxa"/>
            <w:vAlign w:val="bottom"/>
            <w:shd w:val="clear" w:color="auto" w:fill="CCEEFF"/>
          </w:tcPr>
          <w:p>
            <w:pPr>
              <w:spacing w:after="0"/>
              <w:rPr>
                <w:sz w:val="24"/>
                <w:szCs w:val="24"/>
                <w:color w:val="auto"/>
              </w:rPr>
            </w:pPr>
          </w:p>
        </w:tc>
        <w:tc>
          <w:tcPr>
            <w:tcW w:w="8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deferred tax liabilities, prior to valuation allowance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(14,325)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(10,936)</w:t>
            </w:r>
          </w:p>
        </w:tc>
        <w:tc>
          <w:tcPr>
            <w:tcW w:w="0" w:type="dxa"/>
            <w:vAlign w:val="bottom"/>
          </w:tcPr>
          <w:p>
            <w:pPr>
              <w:spacing w:after="0"/>
              <w:rPr>
                <w:sz w:val="1"/>
                <w:szCs w:val="1"/>
                <w:color w:val="auto"/>
              </w:rPr>
            </w:pP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deferred tax liabilities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(24,815)</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(12,076)</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2012 and 2013, a valuation allowance has been established for certain deferred tax assets due to the uncertainty of realization. The valuation allowance as of December 31, 2012 and 2013 includes an allowance for unrealized losses on ARS investments, foreign deferred tax assets and certain state net operating loss carryforwards. The valuation allowance for the deferred tax asset for unrealized losses on ARS has been recorded as an adjustment to accumulated other comprehensive loss.</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established the valuation allowance because it is more likely than not that a portion of the deferred tax asset for certain items will not be realized based on the weight of available evidence. A valuation allowance was established for the unrealized losses on securities as the Company has not historically generated capital gains, and it is uncertain whether the Company will generate sufficient capital gains in the future to absorb the capital losses. In 2011, the Company sold the office building located at 1331 L Street, NW, in downtown Washington, DC (the “DC Office Building") and the sale generated capital gains, but the Company does not expect to engage in similar transactions on a regular basis. The Company continues to maintain a valuation allowance as of December 31, 2013, for the unrealized losses on securities because it is uncertain as to whether the losses will be realized in a year such that the losses could be carried back to offset the gain from the Company’s sale of the DC Office Building. A valuation allowance was established for the foreign deferred tax assets due to the cumulative loss in recent years in those jurisdictions. The Company has not had sufficient taxable income historically to utilize the foreign deferred tax assets, and it is uncertain whether the Company will generate sufficient taxable income in the future to utilize the deferred tax assets. Similarly, the Company has established a valuation allowance for net operating losses in certain states where it is uncertain whether the Company will generate sufficient taxable income to utilize the net operating losses before they expire.</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change in valuation allowance was an increase of approximately $5.2 million for the year ended December 31, 2012 and an increase of approximately $446,000 for the year ended December 31, 2013. The increase for the year ended December 31, 2013 is primarily due to the increase in the valuation allowance for foreign deferred tax assets of approximately $765,000 partially offset by a decrease in the valuation allowance for deferred tax assets of approximately $319,000 primarily related to state net operating loss carryforwards.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121"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had U.S. income before income taxes of approximately $29.1 million, $36.1 million and $53.2 million for the years ended December 31, 2011, 2012 and 2013, respectively. The Company had foreign losses of approximately $6.6 million, $13.0 million and $5.6 million for the years ended December 31, 2011, 2012 and 2013, respectively.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provision for income taxes resulted in effective tax rates that varied from the statutory federal income tax rate as follows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federal income tax provision at statutory rate</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7,899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16,638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885</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income taxes, net effect</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Stock compensation</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valuation allowance</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Nondeductible compensation</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431</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transaction costs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adjustments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tax expense, net</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7,913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17,803</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U.K. subsidiaries with foreign losses are disregarded entities for U.S. income tax purposes. Accordingly, the losses from these disregarded entities are included in the Company’s consolidated federal income tax provision at the statutory rate. Federal income taxes attributable to income from these disregarded entities are reduced by foreign taxes paid by those disregarded entities.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paid approximately $19.5 million, $2.6 million, and $6.5 million in income taxes for the years ended December 31, 2011, 2012 and 2013, respectively.</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net operating loss carryforwards for international income tax purposes of approximately $31.2 million, which do not expire. The Company has federal net operating loss carryforwards of approximately $13.5 million that begin to expire in 2020, state net operating loss carryforwards with a tax value of approximately $4.9 million that begin to expire in 2020 and state income tax credit carryforwards with a tax value of approximately $1.8 million that begin to expire in 2020. The Company realized a cash benefit relating to the use of its tax loss carryforwards of approximately $12.2 million and $4.2 million in 2012 and 2013, respectively.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the activity related to the Company’s unrecognized tax benefits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Unrecognized tax benefit as of December 31, 2010</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1,766</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Increase for current year tax positions</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1,243</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for prior year tax positions</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w:t>
            </w:r>
          </w:p>
        </w:tc>
      </w:tr>
      <w:tr>
        <w:trPr>
          <w:trHeight w:val="229"/>
        </w:trPr>
        <w:tc>
          <w:tcPr>
            <w:tcW w:w="9940" w:type="dxa"/>
            <w:vAlign w:val="bottom"/>
          </w:tcPr>
          <w:p>
            <w:pPr>
              <w:ind w:left="380"/>
              <w:spacing w:after="0"/>
              <w:rPr>
                <w:sz w:val="20"/>
                <w:szCs w:val="20"/>
                <w:color w:val="auto"/>
              </w:rPr>
            </w:pPr>
            <w:r>
              <w:rPr>
                <w:rFonts w:ascii="Arial" w:cs="Arial" w:eastAsia="Arial" w:hAnsi="Arial"/>
                <w:sz w:val="18"/>
                <w:szCs w:val="18"/>
                <w:color w:val="auto"/>
              </w:rPr>
              <w:t>Expiration of the statute of limitation for assessment of</w:t>
            </w: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9940" w:type="dxa"/>
            <w:vAlign w:val="bottom"/>
          </w:tcPr>
          <w:p>
            <w:pPr>
              <w:ind w:left="380"/>
              <w:spacing w:after="0"/>
              <w:rPr>
                <w:sz w:val="20"/>
                <w:szCs w:val="20"/>
                <w:color w:val="auto"/>
              </w:rPr>
            </w:pPr>
            <w:r>
              <w:rPr>
                <w:rFonts w:ascii="Arial" w:cs="Arial" w:eastAsia="Arial" w:hAnsi="Arial"/>
                <w:sz w:val="18"/>
                <w:szCs w:val="18"/>
                <w:color w:val="auto"/>
              </w:rPr>
              <w:t>taxes</w:t>
            </w: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9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Unrecognized tax benefit as of December 31, 2011</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3,347</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Increase for current year tax positions</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792</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for prior year tax positions</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29"/>
        </w:trPr>
        <w:tc>
          <w:tcPr>
            <w:tcW w:w="9940" w:type="dxa"/>
            <w:vAlign w:val="bottom"/>
          </w:tcPr>
          <w:p>
            <w:pPr>
              <w:ind w:left="380"/>
              <w:spacing w:after="0"/>
              <w:rPr>
                <w:sz w:val="20"/>
                <w:szCs w:val="20"/>
                <w:color w:val="auto"/>
              </w:rPr>
            </w:pPr>
            <w:r>
              <w:rPr>
                <w:rFonts w:ascii="Arial" w:cs="Arial" w:eastAsia="Arial" w:hAnsi="Arial"/>
                <w:sz w:val="18"/>
                <w:szCs w:val="18"/>
                <w:color w:val="auto"/>
              </w:rPr>
              <w:t>Expiration of the statute of limitation for assessment of</w:t>
            </w: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9940" w:type="dxa"/>
            <w:vAlign w:val="bottom"/>
          </w:tcPr>
          <w:p>
            <w:pPr>
              <w:ind w:left="380"/>
              <w:spacing w:after="0"/>
              <w:rPr>
                <w:sz w:val="20"/>
                <w:szCs w:val="20"/>
                <w:color w:val="auto"/>
              </w:rPr>
            </w:pPr>
            <w:r>
              <w:rPr>
                <w:rFonts w:ascii="Arial" w:cs="Arial" w:eastAsia="Arial" w:hAnsi="Arial"/>
                <w:sz w:val="18"/>
                <w:szCs w:val="18"/>
                <w:color w:val="auto"/>
              </w:rPr>
              <w:t>taxes</w:t>
            </w: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9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Unrecognized tax benefit as of December 31, 2012</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3,909</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Increase for current year tax positions</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for prior year tax positions</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2,037</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Expiration of the statute of limitation for assessment of taxes</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9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Unrecognized tax benefit as of December 31, 2013</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5,957</w:t>
            </w: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420"/>
          </w:cols>
          <w:pgMar w:left="240" w:top="121" w:right="239" w:bottom="1440" w:gutter="0" w:footer="0" w:header="0"/>
          <w:type w:val="continuous"/>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Approximately $1.6 million of the unrecognized tax benefit as of each of December 31, 2012 and 2013, would favorably affect the annual effective tax rate, if recognized in future periods. The Company recognized $39,000, $58,000 and $62,000 for interest and penalties in its consolidated statements of operations for the years ended December 31, 2011, 2012 and 2013, respectively. The Company had liabilities of $284,000, $342,000 and $404,000 for interest and penalties in its consolidated balance sheets as of December 31, 2011, 2012 and 2013, respectively. The Company does not anticipate the amount of the unrecognized tax benefits to change significantly over the next twelve months.</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federal and state income tax returns for tax years 2010 through 2012 remain open to examination. The Company’s U.K. income tax returns for tax years 2007 through 2012 remain open to examination.</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is subject to taxation in the U.S. and various states and foreign jurisdictions. The Company is currently under Internal Revenue Service ("IRS") audit in the U.S. for tax year 2010 and its subsidiary LoopNet is under IRS audit for tax years 2009, 2010, 2011 and the four months ended April 30, 2012. While no formal assessments have been received, the Company believes it has provided adequate reserves related to all matters in the tax periods open to examination. Although the timing of income tax audit resolutions and negotiations with taxing authorities is highly uncertain, the Company does not anticipate a significant change to the total amount of unrecognized income tax benefits within the next 12 months.</w:t>
      </w:r>
    </w:p>
    <w:p>
      <w:pPr>
        <w:spacing w:after="0" w:line="169"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leases office facilities and office equipment under various non-cancelable operating leases. The leases contain various renewal options.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Rent expense for the years ended December 31, 2011, 2012 and 2013 was approximately $13.3 million, $16.7 million and $18.3 million, respectively.</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lease payments as of December 31, 2013 are as follows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17,004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2015</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15,128</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14,104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2017</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14,317</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2019 and thereafter</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69,475</w:t>
            </w:r>
          </w:p>
        </w:tc>
      </w:tr>
      <w:tr>
        <w:trPr>
          <w:trHeight w:val="27"/>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future minimum lease payments</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143,944</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February 16, 2012, the Company entered into the Credit Agreement. The Credit Agreement provides for a $175.0 million term loan facility and a $50.0 million revolving credit facility, each with a term of five years. See Note 9 for additional information regarding the Credit Agreement.</w:t>
      </w:r>
    </w:p>
    <w:p>
      <w:pPr>
        <w:spacing w:after="0" w:line="14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May 2011, LoopNet, the Board of Directors of LoopNet (“the LoopNet Board”) and/or the Company were named as defendants in three purported class action lawsuits brought by alleged LoopNet stockholders challenging LoopNet's proposed merger with the Company. The stockholder actions alleged, among other things, that (i) each member of the LoopNet Board breached his fiduciary duties to LoopNet and its stockholders in authorizing the sale of LoopNet to the Company, (ii) the merger did not maximize value to LoopNet stockholders, (iii) LoopNet and the Company made incomplete or materially misleading disclosures about the transaction and (iv) LoopNet and the Company aided and abetted the breaches of fiduciary duty allegedly committed by the members of the LoopNet Board. The stockholder actions sought class action certification and equitable relief, including an injunction against consummation of the merger. The parties stipulated to the consolidation of the actions, and to permit the filing of a consolidated complaint. In June 2011, counsel for the parties entered into a memorandum of understanding in which they agreed on the terms of a settlement of this litigation, which could result in a loss to the Company of approximately $200,000. On March 20, 2013, the California Superior Court declined to grant preliminary approval to the proposed settlement and issued an order scheduling a hearing on June 11, 2013 to show good cause why the case should not be dismissed. Shortly before the hearing plaintiffs filed a third supplemental submission in support of their motion for preliminary approval of the proposed settlement, and the Court rescheduled the show cause hearing for February 11, 2014, and then rescheduled it again for May 13, 2014.</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21"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January 3, 2012, LoopNet, the Company’s wholly owned subsidiary, was sued by CIVIX-DDI, LLC (“Civix”) in the U.S. District Court for the Eastern District of Virginia for alleged infringement of U.S. Patent Nos. 6,385,622 and 6,415,291. The complaint seeks unspecified damages, attorneys' fees and costs. On February 16, 2012, LoopNet filed an answer to Civix’s complaint and filed counterclaims against Civix seeking, among other things, declaratory relief that the asserted patents are invalid, not infringed, and that Civix committed inequitable conduct during the prosecution and re-examination of the asserted patents. On or about May 14, 2012, Civix filed a motion for leave to amend its complaint against LoopNet in the U.S. District Court for the Eastern District of Virginia seeking to add the Company as a defendant, alleging that the Company's products also infringe Civix's patents. The Company filed a motion opposing Civix's motion, and on June 21, 2012, the district court denied Civix's motion to amend its complaint. On June 21, 2012, the Company filed an action in the U.S. District Court for the Northern District of Illinois seeking a declaratory judgment of non-infringement and invalidity against Civix. On August 14, 2012, the Company amended its complaint against Civix to assert an affirmative claim against Civix for breach of contract, alleging Civix viloated its license agreement and covenant not to sue with one of the Company's technology licensors. On August 30, 2012, the Eastern District of Virginia transferred Civix's case against LoopNet to the Northern District of Illinois, where both cases are now pending. On October 29, 2012, Civix filed a separate action against LoopNet in the Northern District of Illinois alleging infringement of U.S. Patent No. 8,296,335. That case was later consolidated with Civix's original lawsuit against LoopNet. Civix amended its complaint against the Company on November 8, 2012 to add claims under Patent No. 8,296,335 as well. On November 15, 2012, LoopNet filed an amended answer and counterclaim against Civix, asserting an affirmative claim against Civix for breach of contract, alleging Civix violated its license agreement and covenant not to sue with one of LoopNet's technology licensors. The U.S. District Court for the Northern District of Illinois construed the language of the patent on September 23, 2013, and has issued a schedule providing for expert discovery and dispositive motions in this case through April 2014, but no trial date has been set. On November 25, 2013, Civix submitted its expert’s report of damages, which estimated the payment it deemed appropriate in the event that the Company is found liable of infringement. The Company believes that Civix’s calculation of damages is based on improper assumptions and miscalculations, and is otherwise unsupported. The Company submitted its own expert’s report of damages, which concluded that the appropriate payment to be made in the event that the Company is found liable of infringement is significantly less than Civix’s estimate of appropriate damages. Moreover, the Company’s expert's report of damages concluded that while Civix’s calculation of damages was fundamentally flawed and should not be used to determine damages, simply applying certain necessary adjustments to Civix's calculation as outlined in the Company’s report resulted in a significant reduction in Civix’s calculation of damages to approximately $3.7 million. On November 5, 2013 the Company offered to settle all outstanding litigation with Civix for $600,000. At this time the Company cannot predict the outcome of its litigation with Civix, but the Company intends to vigorously defend itself against Civix’s claims. While the Company believes it has meritorious defenses against Civix’s claims, the Company estimates that, based on the Company’s adjusted calculation of Civix’s alleged damages, the matter could result in a loss of up to $3.1 million in excess of the amount accrued.</w:t>
      </w:r>
    </w:p>
    <w:p>
      <w:pPr>
        <w:spacing w:after="0" w:line="39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Currently, and from time to time, the Company is involved in litigation incidental to the conduct of its business. In accordance with GAAP, the Company records a provision for a liability when it is both probable that a liability has been incurred and the amount can be reasonably estimated. At the present time, while it is reasonably possible that an unfavorable outcome may occur as a result of one or more of the Company’s current litigation matters, management has concluded that it is not probable that a loss has been incurred in connection with the Company’s current litigation other than as described above. In addition, other than as described above, the Company is unable to estimate the possible loss or range of loss that could result from an unfavorable outcome in the Company’s current litigation and accordingly, the Company has not recognized any liability in the consolidated financial statements for unfavorable results, if any, other than described above. Legal defense costs are expensed as incurred.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121"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6"/>
          <w:szCs w:val="16"/>
          <w:color w:val="auto"/>
        </w:rPr>
        <w:t>The Company manages its business geographically in two operating segments, with the primary areas of measurement and decision-making being the U.S. and International, which includes the U.K. and France. The Company’s subscription-based information services consist primarily of CoStar Suite</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and FOCUS</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services. CoStar Suite is sold as a platform of service offerings consisting of CoStar Property Professional</w:t>
      </w:r>
      <w:r>
        <w:rPr>
          <w:rFonts w:ascii="Arial" w:cs="Arial" w:eastAsia="Arial" w:hAnsi="Arial"/>
          <w:sz w:val="16"/>
          <w:szCs w:val="16"/>
          <w:i w:val="1"/>
          <w:iCs w:val="1"/>
          <w:color w:val="auto"/>
        </w:rPr>
        <w:t>®</w:t>
      </w:r>
      <w:r>
        <w:rPr>
          <w:rFonts w:ascii="Arial" w:cs="Arial" w:eastAsia="Arial" w:hAnsi="Arial"/>
          <w:sz w:val="16"/>
          <w:szCs w:val="16"/>
          <w:color w:val="auto"/>
        </w:rPr>
        <w:t>, CoStar COMPS Professional</w:t>
      </w:r>
      <w:r>
        <w:rPr>
          <w:rFonts w:ascii="Arial" w:cs="Arial" w:eastAsia="Arial" w:hAnsi="Arial"/>
          <w:sz w:val="16"/>
          <w:szCs w:val="16"/>
          <w:i w:val="1"/>
          <w:iCs w:val="1"/>
          <w:color w:val="auto"/>
        </w:rPr>
        <w:t>®</w:t>
      </w:r>
      <w:r>
        <w:rPr>
          <w:rFonts w:ascii="Arial" w:cs="Arial" w:eastAsia="Arial" w:hAnsi="Arial"/>
          <w:sz w:val="16"/>
          <w:szCs w:val="16"/>
          <w:color w:val="auto"/>
        </w:rPr>
        <w:t xml:space="preserve"> and CoStar Tenant</w:t>
      </w:r>
      <w:r>
        <w:rPr>
          <w:rFonts w:ascii="Arial" w:cs="Arial" w:eastAsia="Arial" w:hAnsi="Arial"/>
          <w:sz w:val="16"/>
          <w:szCs w:val="16"/>
          <w:i w:val="1"/>
          <w:iCs w:val="1"/>
          <w:color w:val="auto"/>
        </w:rPr>
        <w:t>®</w:t>
      </w:r>
      <w:r>
        <w:rPr>
          <w:rFonts w:ascii="Arial" w:cs="Arial" w:eastAsia="Arial" w:hAnsi="Arial"/>
          <w:sz w:val="16"/>
          <w:szCs w:val="16"/>
          <w:color w:val="auto"/>
        </w:rPr>
        <w:t xml:space="preserve"> and through the Company's mobile application, CoStarGo</w:t>
      </w:r>
      <w:r>
        <w:rPr>
          <w:rFonts w:ascii="Arial" w:cs="Arial" w:eastAsia="Arial" w:hAnsi="Arial"/>
          <w:sz w:val="16"/>
          <w:szCs w:val="16"/>
          <w:i w:val="1"/>
          <w:iCs w:val="1"/>
          <w:color w:val="auto"/>
        </w:rPr>
        <w:t>®</w:t>
      </w:r>
      <w:r>
        <w:rPr>
          <w:rFonts w:ascii="Arial" w:cs="Arial" w:eastAsia="Arial" w:hAnsi="Arial"/>
          <w:sz w:val="16"/>
          <w:szCs w:val="16"/>
          <w:color w:val="auto"/>
        </w:rPr>
        <w:t>. CoStar Suite is the Company’s primary service offering in the U.S. operating segment. FOCUS is the Company’s primary service offering in the International operating segment. Additionally, the Company introduced CoStar Suite in the U.K. in the fourth quarter of 2012 and no longer offered FOCUS to new clients beginning in 2013. CoStar's and its subsidiaries' subscription-based services consist primarily of similar services offered over the Internet to commercial real estate industry and related professionals. Management relies on an internal management reporting process that provides revenue and operating segment EBITDA, which is the Company’s net income before interest, income taxes, depreciation and amortization. Management believes that operating segment EBITDA is an appropriate measure for evaluating the operational performance of the Company’s operating segments. EBITDA is used by management to internally measure operating and management performance and to evaluate the performance of the business. However, this measure should be considered in addition to, not as a substitute for or superior to, income from operations or other measures of financial performance prepared in accordance with GAAP.</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information by operating segment was as follows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8"/>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233,381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330,805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420,817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External customers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18,357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19,131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Intersegment revenue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international revenue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19,497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20,645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Intersegment eliminations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251,738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349,936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440,943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38,099</w:t>
            </w:r>
          </w:p>
        </w:tc>
        <w:tc>
          <w:tcPr>
            <w:tcW w:w="100" w:type="dxa"/>
            <w:vAlign w:val="bottom"/>
          </w:tcPr>
          <w:p>
            <w:pPr>
              <w:spacing w:after="0"/>
              <w:rPr>
                <w:sz w:val="21"/>
                <w:szCs w:val="21"/>
                <w:color w:val="auto"/>
              </w:rPr>
            </w:pP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70,199</w:t>
            </w:r>
          </w:p>
        </w:tc>
        <w:tc>
          <w:tcPr>
            <w:tcW w:w="100" w:type="dxa"/>
            <w:vAlign w:val="bottom"/>
          </w:tcPr>
          <w:p>
            <w:pPr>
              <w:spacing w:after="0"/>
              <w:rPr>
                <w:sz w:val="21"/>
                <w:szCs w:val="21"/>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97,348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Total EBITDA</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34,623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60,192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94,212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vMerge w:val="restart"/>
          </w:tcPr>
          <w:p>
            <w:pPr>
              <w:ind w:left="20"/>
              <w:spacing w:after="0"/>
              <w:rPr>
                <w:sz w:val="20"/>
                <w:szCs w:val="20"/>
                <w:color w:val="auto"/>
              </w:rPr>
            </w:pPr>
            <w:r>
              <w:rPr>
                <w:rFonts w:ascii="Arial" w:cs="Arial" w:eastAsia="Arial" w:hAnsi="Arial"/>
                <w:sz w:val="18"/>
                <w:szCs w:val="18"/>
                <w:color w:val="auto"/>
              </w:rPr>
              <w:t>Reconciliation of EBITDA to net income</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0" w:type="dxa"/>
            <w:vAlign w:val="bottom"/>
          </w:tcPr>
          <w:p>
            <w:pPr>
              <w:spacing w:after="0"/>
              <w:rPr>
                <w:sz w:val="24"/>
                <w:szCs w:val="24"/>
                <w:color w:val="auto"/>
              </w:rPr>
            </w:pPr>
          </w:p>
        </w:tc>
        <w:tc>
          <w:tcPr>
            <w:tcW w:w="67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Purchase amortization in cost of revenues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(8,634)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amortization in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Depreciation and other amortization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(9,262)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14,656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9,915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Intersegment revenue is attributable to services performed for the Company’s wholly owned subsidiary, Property and Portfolio Research (“PPR”) by Property and Portfolio Research Ltd., a wholly owned subsidiary of PPR. Intersegment revenue is recorded at an amount the Company believes approximates fair value. U.S. EBITDA includes a corresponding cost for the services performed by Property and Portfolio Research Ltd. for PPR.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121" w:right="2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costs allocated to U.S. EBITDA for the years ended December 31, 2011 and 2012. U.S. EBITDA includes an allocation of approximately $800,000 for the year ended December 31, 2013. This allocation represents costs incurred for International employees involved in development activities of the Company's U.S. operating segment.</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International EBITDA includes a corporate allocation of approximately $800,000, $5.3 million and $400,000 for the years ended December 31, 2011, 2012 and 2013, respectively. This allocation represents costs incurred for U.S. employees involved in management and expansion activities of the Company’s International operating segment.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information by operating segment consists of the following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2013</w:t>
            </w:r>
          </w:p>
        </w:tc>
        <w:tc>
          <w:tcPr>
            <w:tcW w:w="0" w:type="dxa"/>
            <w:vAlign w:val="bottom"/>
          </w:tcPr>
          <w:p>
            <w:pPr>
              <w:spacing w:after="0"/>
              <w:rPr>
                <w:sz w:val="1"/>
                <w:szCs w:val="1"/>
                <w:color w:val="auto"/>
              </w:rPr>
            </w:pPr>
          </w:p>
        </w:tc>
      </w:tr>
      <w:tr>
        <w:trPr>
          <w:trHeight w:val="27"/>
        </w:trPr>
        <w:tc>
          <w:tcPr>
            <w:tcW w:w="8320" w:type="dxa"/>
            <w:vAlign w:val="bottom"/>
            <w:vMerge w:val="restart"/>
          </w:tcPr>
          <w:p>
            <w:pPr>
              <w:ind w:left="4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42,480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53,733</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3,828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3,986</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property and equipment,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46,308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57,719</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692,639</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692,639</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25,439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25,948</w:t>
            </w:r>
          </w:p>
        </w:tc>
        <w:tc>
          <w:tcPr>
            <w:tcW w:w="0" w:type="dxa"/>
            <w:vAlign w:val="bottom"/>
          </w:tcPr>
          <w:p>
            <w:pPr>
              <w:spacing w:after="0"/>
              <w:rPr>
                <w:sz w:val="1"/>
                <w:szCs w:val="1"/>
                <w:color w:val="auto"/>
              </w:rPr>
            </w:pPr>
          </w:p>
        </w:tc>
      </w:tr>
      <w:tr>
        <w:trPr>
          <w:trHeight w:val="297"/>
        </w:trPr>
        <w:tc>
          <w:tcPr>
            <w:tcW w:w="8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goodwill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718,078</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718,587</w:t>
            </w:r>
          </w:p>
        </w:tc>
        <w:tc>
          <w:tcPr>
            <w:tcW w:w="0" w:type="dxa"/>
            <w:vAlign w:val="bottom"/>
          </w:tcPr>
          <w:p>
            <w:pPr>
              <w:spacing w:after="0"/>
              <w:rPr>
                <w:sz w:val="1"/>
                <w:szCs w:val="1"/>
                <w:color w:val="auto"/>
              </w:rPr>
            </w:pPr>
          </w:p>
        </w:tc>
      </w:tr>
      <w:tr>
        <w:trPr>
          <w:trHeight w:val="284"/>
        </w:trPr>
        <w:tc>
          <w:tcPr>
            <w:tcW w:w="8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Assets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1,215,949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1,311,292</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40,933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43,464</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operating segment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1,256,882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1,354,756</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operating segment assets to total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Total operating segment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1,256,882</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1,354,756</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subsidiaries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(18,344)</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Intersegment receivables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(73,399)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(79,430)</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1,165,139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1,256,982</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335,855</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324,626</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70,108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79,266</w:t>
            </w:r>
          </w:p>
        </w:tc>
        <w:tc>
          <w:tcPr>
            <w:tcW w:w="0" w:type="dxa"/>
            <w:vAlign w:val="bottom"/>
          </w:tcPr>
          <w:p>
            <w:pPr>
              <w:spacing w:after="0"/>
              <w:rPr>
                <w:sz w:val="1"/>
                <w:szCs w:val="1"/>
                <w:color w:val="auto"/>
              </w:rPr>
            </w:pPr>
          </w:p>
        </w:tc>
      </w:tr>
      <w:tr>
        <w:trPr>
          <w:trHeight w:val="297"/>
        </w:trPr>
        <w:tc>
          <w:tcPr>
            <w:tcW w:w="8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operating segment liabilities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405,963</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403,892</w:t>
            </w:r>
          </w:p>
        </w:tc>
        <w:tc>
          <w:tcPr>
            <w:tcW w:w="0" w:type="dxa"/>
            <w:vAlign w:val="bottom"/>
          </w:tcPr>
          <w:p>
            <w:pPr>
              <w:spacing w:after="0"/>
              <w:rPr>
                <w:sz w:val="1"/>
                <w:szCs w:val="1"/>
                <w:color w:val="auto"/>
              </w:rPr>
            </w:pPr>
          </w:p>
        </w:tc>
      </w:tr>
      <w:tr>
        <w:trPr>
          <w:trHeight w:val="284"/>
        </w:trPr>
        <w:tc>
          <w:tcPr>
            <w:tcW w:w="8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Reconciliation of operating segment liabilities to total 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segment liabilities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405,963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403,892</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Intersegment payables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(67,167)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(74,772)</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338,796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329,120</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1420"/>
          </w:cols>
          <w:pgMar w:left="240" w:top="121" w:right="239" w:bottom="1440"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right="8440" w:firstLine="8"/>
        <w:spacing w:after="0" w:line="503" w:lineRule="auto"/>
        <w:tabs>
          <w:tab w:leader="none" w:pos="648"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Preferred Stock</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2,000,000 shares of preferred stock, $0.01 par value, authorized for issuance as of December 31, 2013. The Board of Directors may issue the preferred stock from time to time as shares of one or more classes or series.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has 60,000,000 shares of common stock, $0.01 par value, authorized for issuance. On June 5, 2012, the Company amended and restated its Restated Certificate of Incorporation to increase the authorized shares of common stock by 30,000,000 shares to 60,000,000 shares. Dividends may be declared and paid on the common stock, subject in all cases to the rights and preferences of the holders of preferred stock and authorization by the Board of Directors. In the event of liquidation or winding up of the Company and after the payment of all preferential amounts required to be paid to the holders of any series of preferred stock, any remaining funds shall be distributed among the holders of the issued and outstanding common stock.</w:t>
      </w:r>
    </w:p>
    <w:p>
      <w:pPr>
        <w:spacing w:after="0" w:line="154"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calculation of basic and diluted net income per share (in thousands except per share data):</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Numerator:</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14,656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29,734</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Denominator:</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Denominator for basic net income per share — weighted-average outstanding shares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27,670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and restricted stock</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w w:val="91"/>
              </w:rPr>
              <w:t>Denominator for diluted net income per share — weighted-average outstanding shares</w:t>
            </w: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23,527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26,949</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28,212</w:t>
            </w:r>
          </w:p>
        </w:tc>
        <w:tc>
          <w:tcPr>
            <w:tcW w:w="0" w:type="dxa"/>
            <w:vAlign w:val="bottom"/>
          </w:tcPr>
          <w:p>
            <w:pPr>
              <w:spacing w:after="0"/>
              <w:rPr>
                <w:sz w:val="1"/>
                <w:szCs w:val="1"/>
                <w:color w:val="auto"/>
              </w:rPr>
            </w:pPr>
          </w:p>
        </w:tc>
      </w:tr>
      <w:tr>
        <w:trPr>
          <w:trHeight w:val="284"/>
        </w:trPr>
        <w:tc>
          <w:tcPr>
            <w:tcW w:w="6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per share — basic</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5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Employee stock options with exercise prices greater than the average market price of the Company’s common stock for the period are excluded from the calculation of diluted net income per share as their inclusion would be anti-dilutive. Stock options to purchase approximately 2,300 shares that were outstanding as of December 31, 2011 were not included in the computation of diluted net income per share because the exercise price of the stock options was greater than the average share price of the common shares during the period. No stock options to purchase shares were excluded from the calculation of diluted net income per share for the years ended December 31, 2012 and 2013. Additionally, shares of restricted common stock that vest based on Company performance conditions that have not been achieved as of the end of the period are not included in the computation of basic or diluted earnings per share.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1"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right="8260" w:firstLine="8"/>
        <w:spacing w:after="0" w:line="503" w:lineRule="auto"/>
        <w:tabs>
          <w:tab w:leader="none" w:pos="648"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Stock Incentive Plans</w:t>
      </w:r>
    </w:p>
    <w:p>
      <w:pPr>
        <w:spacing w:after="0" w:line="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June 1998, the Company’s Board of Directors adopted the 1998 Stock Incentive Plan (as amended, the “1998 Plan”) prior to consummation of the Company’s initial public offering. In April 2007, the Company’s Board of Directors adopted the CoStar Group, Inc. 2007 Stock Incentive Plan (as amended, the “2007 Plan”), subject to stockholder approval, which was obtained on June 7, 2007. All shares of common stock that were authorized for issuance under the 1998 Plan that, as of June 7, 2007, remained available for issuance under the 1998 Plan (excluding shares subject to outstanding awards) were rolled into the 2007 Plan and, as of that date, no shares of common stock were available for new awards under the 1998 Plan. The 1998 Plan continues to govern unexercised and unexpired awards issued under the 1998 Plan prior to June 7, 2007. The 1998 Plan provided for the grant of stock and stock options to officers, directors and employees of the Company and its subsidiaries. Stock options granted under the 1998 Plan could be incentive or non-qualified, and the exercise price for an incentive stock option may not be less than the fair market value of the Company’s common stock on the date of grant. The vesting period of the options and restricted stock grants under the 1998 Plan was determined by the Board of Directors or a committee thereof and was generally three to four years. Upon the occurrence of a Change of Control, as defined in the 1998 Plan, all outstanding unexercisable options and restricted stock grants under the 1998 Plan immediately become exercisable.</w:t>
      </w:r>
    </w:p>
    <w:p>
      <w:pPr>
        <w:spacing w:after="0" w:line="18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2007 Plan provides for the grant of stock options, restricted stock, restricted stock units, and stock appreciation rights to officers, employees, directors and consultants of the Company and its subsidiaries. Stock options granted under the 2007 Plan may be non-qualified or may qualify as incentive stock options. Except in limited circumstances related to a merger or other acquisition, the exercise price for an option may not be less than the fair market value of the Company’s common stock on the date of grant. The vesting period for each grant of options, restricted stock, restricted stock units and stock appreciation rights under the 2007 Plan is determined by the Board of Directors or a committee thereof and is generally three to four years, subject to minimum vesting periods for restricted stock and restricted stock units of at least one year. In some cases, vesting of awards under the 2007 Plan may be based on performance conditions. The Company has issued and/or reserved the following shares of common stock for issuance under the 2007 Plan (including an increase of 1,300,000 shares of common stock pursuant to an amendment to the 2007 Plan approved by the Company’s stockholders on June 2, 2010 and an increase of 900,000 shares of common stock pursuant to an amendment to the 2007 Plan approved by the Company’s stockholders on June 5, 2012): (a) 3,200,000 shares of common stock, plus (b) 121,875 shares of common stock that were authorized for issuance under the 1998 Plan that, as of June 7, 2007, remained available for issuance under the 1998 Plan (not including any Shares that were subject as of such date to outstanding awards under the 1998 Plan), and (c) any shares of common stock subject to outstanding awards under the 1998 Plan as of June 7, 2007, that on or after such date cease for any reason to be subject to such awards (other than by reason of exercise or settlement of the awards to the extent they are exercised for or settled in vested and nonforfeitable shares). Unless terminated sooner, the 2007 Plan will terminate in April 2017, but will continue to govern unexercised and unexpired awards issued under the 2007 Plan prior to that date. Approximately 1.4 million and 1.2 million shares were available for future grant under the 2007 Plan as of December 31, 2012 and 2013, respectively.</w:t>
      </w:r>
    </w:p>
    <w:p>
      <w:pPr>
        <w:spacing w:after="0" w:line="18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In February 2012, the Compensation Committee (the “Committee”) of the Board of Directors of the Company approved grants of restricted common stock to the executive officers that vest based on the achievement of Company performance conditions. These awards support the Committee’s goals of aligning executive incentives with long-term stockholder value and ensuring that executive officers have a continuing stake in the long-term success of the Company. In May and December of 2012, the Company granted additional shares of restricted common stock that vest based on the achievement of the Company's performance conditions to other employees. These shares of performance-based restricted common stock vest upon the Company’s achievement of $90.0 million of cumulative EBITDA over a period of four consecutive calendar quarters, and are subject to forfeiture in the event the foregoing performance condition is not met by March 31, 2017. The Company granted a total of 399,413 shares of performance-based restricted common stock during the year ended December 31, 2012. There were no shares of performance-based restricted common stock granted by the Company during the year ended December 31, 2013. All of the awards were made under the 2007 Plan and pursuant to the Company’s standard form of restricted stock grant agreement. The number of shares granted was based on the fair market value of the Company’s common stock on the grant date. As of March 31, 2013, the Company initially determined that it was probable that the performance condition for these performance-based restricted common stock awards would be met by the March 31, 2017 forfeiture date. As of December 31, 2013, the Company reassessed the probability of achieving this performance condition and determined that it was still probable that the performance condition for these awards would be met by the March 31, 2017 forfeiture date, subject to certain approvals under the 2007 Plan. As a result, the Company recorded a total of approximately $21.8 million of stock-based compensation expense related to performance-based restricted common stock for the year ended December 31, 2013. There was no stock-based compensation expense related to performance-based restricted common stock recorded for the years ended December 31, 2011 and 2012.</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2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right="6780" w:firstLine="8"/>
        <w:spacing w:after="0" w:line="503" w:lineRule="auto"/>
        <w:tabs>
          <w:tab w:leader="none" w:pos="648"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 Stock Incentive Plans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Option activity was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Weighted-</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3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320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96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Range of</w:t>
            </w: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Exercise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Value</w:t>
            </w:r>
          </w:p>
        </w:tc>
      </w:tr>
      <w:tr>
        <w:trPr>
          <w:trHeight w:val="234"/>
        </w:trPr>
        <w:tc>
          <w:tcPr>
            <w:tcW w:w="3200" w:type="dxa"/>
            <w:vAlign w:val="bottom"/>
          </w:tcPr>
          <w:p>
            <w:pPr>
              <w:spacing w:after="0"/>
              <w:rPr>
                <w:sz w:val="20"/>
                <w:szCs w:val="20"/>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9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Exercise Price</w:t>
            </w:r>
          </w:p>
        </w:tc>
        <w:tc>
          <w:tcPr>
            <w:tcW w:w="22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Life (in years)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3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2010</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945,696</w:t>
            </w:r>
          </w:p>
        </w:tc>
        <w:tc>
          <w:tcPr>
            <w:tcW w:w="2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$17.34 - $55.07</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111,470</w:t>
            </w:r>
          </w:p>
        </w:tc>
        <w:tc>
          <w:tcPr>
            <w:tcW w:w="2080" w:type="dxa"/>
            <w:vAlign w:val="bottom"/>
            <w:gridSpan w:val="3"/>
          </w:tcPr>
          <w:p>
            <w:pPr>
              <w:jc w:val="right"/>
              <w:ind w:right="120"/>
              <w:spacing w:after="0"/>
              <w:rPr>
                <w:sz w:val="20"/>
                <w:szCs w:val="20"/>
                <w:color w:val="auto"/>
              </w:rPr>
            </w:pPr>
            <w:r>
              <w:rPr>
                <w:rFonts w:ascii="Arial" w:cs="Arial" w:eastAsia="Arial" w:hAnsi="Arial"/>
                <w:sz w:val="18"/>
                <w:szCs w:val="18"/>
                <w:color w:val="auto"/>
              </w:rPr>
              <w:t>$57.16 - $60.23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57.28</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(198,132)</w:t>
            </w:r>
          </w:p>
        </w:tc>
        <w:tc>
          <w:tcPr>
            <w:tcW w:w="2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$17.97 - $54.51</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Canceled or expired</w:t>
            </w:r>
          </w:p>
        </w:tc>
        <w:tc>
          <w:tcPr>
            <w:tcW w:w="1380" w:type="dxa"/>
            <w:vAlign w:val="bottom"/>
          </w:tcPr>
          <w:p>
            <w:pPr>
              <w:jc w:val="right"/>
              <w:spacing w:after="0"/>
              <w:rPr>
                <w:sz w:val="20"/>
                <w:szCs w:val="20"/>
                <w:color w:val="auto"/>
              </w:rPr>
            </w:pPr>
            <w:r>
              <w:rPr>
                <w:rFonts w:ascii="Arial" w:cs="Arial" w:eastAsia="Arial" w:hAnsi="Arial"/>
                <w:sz w:val="18"/>
                <w:szCs w:val="18"/>
                <w:color w:val="auto"/>
              </w:rPr>
              <w:t>(11,932)</w:t>
            </w:r>
          </w:p>
        </w:tc>
        <w:tc>
          <w:tcPr>
            <w:tcW w:w="2080" w:type="dxa"/>
            <w:vAlign w:val="bottom"/>
            <w:gridSpan w:val="3"/>
          </w:tcPr>
          <w:p>
            <w:pPr>
              <w:jc w:val="right"/>
              <w:ind w:right="120"/>
              <w:spacing w:after="0"/>
              <w:rPr>
                <w:sz w:val="20"/>
                <w:szCs w:val="20"/>
                <w:color w:val="auto"/>
              </w:rPr>
            </w:pPr>
            <w:r>
              <w:rPr>
                <w:rFonts w:ascii="Arial" w:cs="Arial" w:eastAsia="Arial" w:hAnsi="Arial"/>
                <w:sz w:val="18"/>
                <w:szCs w:val="18"/>
                <w:color w:val="auto"/>
              </w:rPr>
              <w:t>$36.48 - $54.51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40.65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2011</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847,102</w:t>
            </w:r>
          </w:p>
        </w:tc>
        <w:tc>
          <w:tcPr>
            <w:tcW w:w="2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$17.34 - $60.23</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102,000</w:t>
            </w:r>
          </w:p>
        </w:tc>
        <w:tc>
          <w:tcPr>
            <w:tcW w:w="2080" w:type="dxa"/>
            <w:vAlign w:val="bottom"/>
            <w:gridSpan w:val="3"/>
          </w:tcPr>
          <w:p>
            <w:pPr>
              <w:jc w:val="right"/>
              <w:ind w:right="120"/>
              <w:spacing w:after="0"/>
              <w:rPr>
                <w:sz w:val="20"/>
                <w:szCs w:val="20"/>
                <w:color w:val="auto"/>
              </w:rPr>
            </w:pPr>
            <w:r>
              <w:rPr>
                <w:rFonts w:ascii="Arial" w:cs="Arial" w:eastAsia="Arial" w:hAnsi="Arial"/>
                <w:sz w:val="18"/>
                <w:szCs w:val="18"/>
                <w:color w:val="auto"/>
              </w:rPr>
              <w:t>$58.95 - $58.95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58.95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(274,842)</w:t>
            </w:r>
          </w:p>
        </w:tc>
        <w:tc>
          <w:tcPr>
            <w:tcW w:w="2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$17.34 - $57.16</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Canceled or expired</w:t>
            </w:r>
          </w:p>
        </w:tc>
        <w:tc>
          <w:tcPr>
            <w:tcW w:w="1380" w:type="dxa"/>
            <w:vAlign w:val="bottom"/>
          </w:tcPr>
          <w:p>
            <w:pPr>
              <w:jc w:val="right"/>
              <w:spacing w:after="0"/>
              <w:rPr>
                <w:sz w:val="20"/>
                <w:szCs w:val="20"/>
                <w:color w:val="auto"/>
              </w:rPr>
            </w:pPr>
            <w:r>
              <w:rPr>
                <w:rFonts w:ascii="Arial" w:cs="Arial" w:eastAsia="Arial" w:hAnsi="Arial"/>
                <w:sz w:val="18"/>
                <w:szCs w:val="18"/>
                <w:color w:val="auto"/>
              </w:rPr>
              <w:t>(541)</w:t>
            </w:r>
          </w:p>
        </w:tc>
        <w:tc>
          <w:tcPr>
            <w:tcW w:w="2080" w:type="dxa"/>
            <w:vAlign w:val="bottom"/>
            <w:gridSpan w:val="3"/>
          </w:tcPr>
          <w:p>
            <w:pPr>
              <w:jc w:val="right"/>
              <w:ind w:right="120"/>
              <w:spacing w:after="0"/>
              <w:rPr>
                <w:sz w:val="20"/>
                <w:szCs w:val="20"/>
                <w:color w:val="auto"/>
              </w:rPr>
            </w:pPr>
            <w:r>
              <w:rPr>
                <w:rFonts w:ascii="Arial" w:cs="Arial" w:eastAsia="Arial" w:hAnsi="Arial"/>
                <w:sz w:val="18"/>
                <w:szCs w:val="18"/>
                <w:color w:val="auto"/>
              </w:rPr>
              <w:t>$54.51 - $54.51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54.51</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2012</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673,719</w:t>
            </w:r>
          </w:p>
        </w:tc>
        <w:tc>
          <w:tcPr>
            <w:tcW w:w="2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$25.00 - $60.23</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45.20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126,800</w:t>
            </w:r>
          </w:p>
        </w:tc>
        <w:tc>
          <w:tcPr>
            <w:tcW w:w="2080" w:type="dxa"/>
            <w:vAlign w:val="bottom"/>
            <w:gridSpan w:val="3"/>
          </w:tcPr>
          <w:p>
            <w:pPr>
              <w:jc w:val="right"/>
              <w:ind w:right="120"/>
              <w:spacing w:after="0"/>
              <w:rPr>
                <w:sz w:val="20"/>
                <w:szCs w:val="20"/>
                <w:color w:val="auto"/>
              </w:rPr>
            </w:pPr>
            <w:r>
              <w:rPr>
                <w:rFonts w:ascii="Arial" w:cs="Arial" w:eastAsia="Arial" w:hAnsi="Arial"/>
                <w:sz w:val="18"/>
                <w:szCs w:val="18"/>
                <w:color w:val="auto"/>
              </w:rPr>
              <w:t>$102.16 - $102.16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102.16</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(409,799)</w:t>
            </w:r>
          </w:p>
        </w:tc>
        <w:tc>
          <w:tcPr>
            <w:tcW w:w="2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$25.00 - $58.95</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Canceled or expired</w:t>
            </w:r>
          </w:p>
        </w:tc>
        <w:tc>
          <w:tcPr>
            <w:tcW w:w="1380" w:type="dxa"/>
            <w:vAlign w:val="bottom"/>
          </w:tcPr>
          <w:p>
            <w:pPr>
              <w:jc w:val="right"/>
              <w:spacing w:after="0"/>
              <w:rPr>
                <w:sz w:val="20"/>
                <w:szCs w:val="20"/>
                <w:color w:val="auto"/>
              </w:rPr>
            </w:pPr>
            <w:r>
              <w:rPr>
                <w:rFonts w:ascii="Arial" w:cs="Arial" w:eastAsia="Arial" w:hAnsi="Arial"/>
                <w:sz w:val="18"/>
                <w:szCs w:val="18"/>
                <w:color w:val="auto"/>
              </w:rPr>
              <w:t>(16,380)</w:t>
            </w:r>
          </w:p>
        </w:tc>
        <w:tc>
          <w:tcPr>
            <w:tcW w:w="2080" w:type="dxa"/>
            <w:vAlign w:val="bottom"/>
            <w:gridSpan w:val="3"/>
          </w:tcPr>
          <w:p>
            <w:pPr>
              <w:jc w:val="right"/>
              <w:ind w:right="120"/>
              <w:spacing w:after="0"/>
              <w:rPr>
                <w:sz w:val="20"/>
                <w:szCs w:val="20"/>
                <w:color w:val="auto"/>
              </w:rPr>
            </w:pPr>
            <w:r>
              <w:rPr>
                <w:rFonts w:ascii="Arial" w:cs="Arial" w:eastAsia="Arial" w:hAnsi="Arial"/>
                <w:sz w:val="18"/>
                <w:szCs w:val="18"/>
                <w:color w:val="auto"/>
              </w:rPr>
              <w:t>$36.48 - $58.95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47.54</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2013</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374,340</w:t>
            </w:r>
          </w:p>
        </w:tc>
        <w:tc>
          <w:tcPr>
            <w:tcW w:w="2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$36.48 - $102.16</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68.94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43,289</w:t>
            </w:r>
          </w:p>
        </w:tc>
      </w:tr>
      <w:tr>
        <w:trPr>
          <w:trHeight w:val="20"/>
        </w:trPr>
        <w:tc>
          <w:tcPr>
            <w:tcW w:w="3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11"/>
        </w:trPr>
        <w:tc>
          <w:tcPr>
            <w:tcW w:w="3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6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December 31, 2011</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558,849</w:t>
            </w:r>
          </w:p>
        </w:tc>
        <w:tc>
          <w:tcPr>
            <w:tcW w:w="2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$17.34 - $55.07</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0"/>
        </w:trPr>
        <w:tc>
          <w:tcPr>
            <w:tcW w:w="3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91"/>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Exercisable at December 31, 2012</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432,196</w:t>
            </w:r>
          </w:p>
        </w:tc>
        <w:tc>
          <w:tcPr>
            <w:tcW w:w="2080" w:type="dxa"/>
            <w:vAlign w:val="bottom"/>
            <w:tcBorders>
              <w:bottom w:val="single" w:sz="8" w:color="CCEEFF"/>
            </w:tcBorders>
            <w:gridSpan w:val="3"/>
          </w:tcPr>
          <w:p>
            <w:pPr>
              <w:jc w:val="right"/>
              <w:ind w:right="120"/>
              <w:spacing w:after="0"/>
              <w:rPr>
                <w:sz w:val="20"/>
                <w:szCs w:val="20"/>
                <w:color w:val="auto"/>
              </w:rPr>
            </w:pPr>
            <w:r>
              <w:rPr>
                <w:rFonts w:ascii="Arial" w:cs="Arial" w:eastAsia="Arial" w:hAnsi="Arial"/>
                <w:sz w:val="18"/>
                <w:szCs w:val="18"/>
                <w:color w:val="auto"/>
              </w:rPr>
              <w:t>$25.00 - $60.23</w:t>
            </w:r>
          </w:p>
        </w:tc>
        <w:tc>
          <w:tcPr>
            <w:tcW w:w="22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40.22</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spacing w:after="0"/>
              <w:rPr>
                <w:sz w:val="24"/>
                <w:szCs w:val="24"/>
                <w:color w:val="auto"/>
              </w:rPr>
            </w:pPr>
          </w:p>
        </w:tc>
      </w:tr>
      <w:tr>
        <w:trPr>
          <w:trHeight w:val="251"/>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December 31, 2013</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146,161</w:t>
            </w:r>
          </w:p>
        </w:tc>
        <w:tc>
          <w:tcPr>
            <w:tcW w:w="2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$36.48 - $60.23</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47.72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20,004</w:t>
            </w:r>
          </w:p>
        </w:tc>
      </w:tr>
      <w:tr>
        <w:trPr>
          <w:trHeight w:val="20"/>
        </w:trPr>
        <w:tc>
          <w:tcPr>
            <w:tcW w:w="3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aggregate intrinsic value is calculated as the difference between (i) the closing price of the common stock at December 31, 2011, 2012 and 2013 and</w:t>
      </w:r>
    </w:p>
    <w:p>
      <w:pPr>
        <w:spacing w:after="0" w:line="46" w:lineRule="exact"/>
        <w:rPr>
          <w:sz w:val="20"/>
          <w:szCs w:val="20"/>
          <w:color w:val="auto"/>
        </w:rPr>
      </w:pPr>
    </w:p>
    <w:p>
      <w:pPr>
        <w:jc w:val="both"/>
        <w:ind w:firstLine="8"/>
        <w:spacing w:after="0" w:line="254" w:lineRule="auto"/>
        <w:tabs>
          <w:tab w:leader="none" w:pos="27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exercise prices of the underlying awards, multiplied by the shares underlying options as of December 31, 2011, 2012 and 2013, that had an exercise price less than the closing price on that date. Options to purchase 198,132, 274,842 and 409,799 shares were exercised for the years ended December 31, 2011, 2012, and 2013, respectively. The aggregate intrinsic value of options exercised, determined as of the date of option exercise, was $6.1 million, $11.9 million and $39.0 million for the years ended December 31, 2011, 2012, and 2013, respectively.</w:t>
      </w:r>
    </w:p>
    <w:p>
      <w:pPr>
        <w:spacing w:after="0" w:line="1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December 31, 2013, there was $38.6 million of unrecognized compensation cost related to stock-based payments, net of forfeitures, which is expected to be recognized over a weighted-average-period of 2.4 years. The $38.6 million of unrecognized compensation cost at December 31, 2013 included approximately $2.1 million of unrecognized compensation costs related to shares of restricted common stock that vest based on the achievement of Company performance conditions.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weighted-average grant date fair value of each option granted during the years ended December 31, 2011, 2012 and 2013 using the Black-Scholes option-pricing model was $21.57, $20.99 and $34.10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right="6780" w:firstLine="8"/>
        <w:spacing w:after="0" w:line="503" w:lineRule="auto"/>
        <w:tabs>
          <w:tab w:leader="none" w:pos="648"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 Stock Incentive Plans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estimated the fair value of each option granted on the date of grant using the Black-Scholes option-pricing model, using the assumptions noted in the following table:</w:t>
      </w:r>
    </w:p>
    <w:p>
      <w:pPr>
        <w:spacing w:after="0" w:line="329"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34290</wp:posOffset>
            </wp:positionV>
            <wp:extent cx="30702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gridSpan w:val="2"/>
          </w:tcPr>
          <w:p>
            <w:pPr>
              <w:ind w:left="7180"/>
              <w:spacing w:after="0"/>
              <w:rPr>
                <w:sz w:val="20"/>
                <w:szCs w:val="20"/>
                <w:color w:val="auto"/>
              </w:rPr>
            </w:pPr>
            <w:r>
              <w:rPr>
                <w:rFonts w:ascii="Arial" w:cs="Arial" w:eastAsia="Arial" w:hAnsi="Arial"/>
                <w:sz w:val="18"/>
                <w:szCs w:val="18"/>
                <w:b w:val="1"/>
                <w:bCs w:val="1"/>
                <w:color w:val="auto"/>
              </w:rPr>
              <w:t>2011</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r>
      <w:tr>
        <w:trPr>
          <w:trHeight w:val="27"/>
        </w:trPr>
        <w:tc>
          <w:tcPr>
            <w:tcW w:w="65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762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6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7620" w:type="dxa"/>
            <w:vAlign w:val="bottom"/>
            <w:gridSpan w:val="2"/>
          </w:tcPr>
          <w:p>
            <w:pPr>
              <w:ind w:left="40"/>
              <w:spacing w:after="0"/>
              <w:rPr>
                <w:sz w:val="20"/>
                <w:szCs w:val="20"/>
                <w:color w:val="auto"/>
              </w:rPr>
            </w:pPr>
            <w:r>
              <w:rPr>
                <w:rFonts w:ascii="Arial" w:cs="Arial" w:eastAsia="Arial" w:hAnsi="Arial"/>
                <w:sz w:val="18"/>
                <w:szCs w:val="18"/>
                <w:color w:val="auto"/>
              </w:rPr>
              <w:t>Expected life (in years)</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5</w:t>
            </w: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assumptions above and the estimation of expected forfeitures are based on multiple facts, including historical employee behavior patterns of exercising options and post-employment termination behavior, expected future employee option exercise patterns, and the historical volatility of the Company’s stock price.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regarding options outstanding at December 31, 2013:</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Options Outstanding</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Options Exercisable</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Weighted-Average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000" w:type="dxa"/>
            <w:vAlign w:val="bottom"/>
            <w:gridSpan w:val="2"/>
          </w:tcPr>
          <w:p>
            <w:pPr>
              <w:ind w:left="820"/>
              <w:spacing w:after="0"/>
              <w:rPr>
                <w:sz w:val="20"/>
                <w:szCs w:val="20"/>
                <w:color w:val="auto"/>
              </w:rPr>
            </w:pPr>
            <w:r>
              <w:rPr>
                <w:rFonts w:ascii="Arial" w:cs="Arial" w:eastAsia="Arial" w:hAnsi="Arial"/>
                <w:sz w:val="18"/>
                <w:szCs w:val="18"/>
                <w:b w:val="1"/>
                <w:bCs w:val="1"/>
                <w:color w:val="auto"/>
              </w:rPr>
              <w:t>Range of</w:t>
            </w:r>
          </w:p>
        </w:tc>
        <w:tc>
          <w:tcPr>
            <w:tcW w:w="1500" w:type="dxa"/>
            <w:vAlign w:val="bottom"/>
          </w:tcPr>
          <w:p>
            <w:pPr>
              <w:jc w:val="right"/>
              <w:ind w:right="23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 Life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3000" w:type="dxa"/>
            <w:vAlign w:val="bottom"/>
            <w:gridSpan w:val="2"/>
          </w:tcPr>
          <w:p>
            <w:pPr>
              <w:ind w:left="620"/>
              <w:spacing w:after="0"/>
              <w:rPr>
                <w:sz w:val="20"/>
                <w:szCs w:val="20"/>
                <w:color w:val="auto"/>
              </w:rPr>
            </w:pPr>
            <w:r>
              <w:rPr>
                <w:rFonts w:ascii="Arial" w:cs="Arial" w:eastAsia="Arial" w:hAnsi="Arial"/>
                <w:sz w:val="18"/>
                <w:szCs w:val="18"/>
                <w:b w:val="1"/>
                <w:bCs w:val="1"/>
                <w:color w:val="auto"/>
              </w:rPr>
              <w:t>Exercise Price</w:t>
            </w: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 years)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Exercise Price</w:t>
            </w: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Exercise Price</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$36.48 - $41.21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16,991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16,991</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37.84</w:t>
            </w:r>
          </w:p>
        </w:tc>
        <w:tc>
          <w:tcPr>
            <w:tcW w:w="0" w:type="dxa"/>
            <w:vAlign w:val="bottom"/>
          </w:tcPr>
          <w:p>
            <w:pPr>
              <w:spacing w:after="0"/>
              <w:rPr>
                <w:sz w:val="1"/>
                <w:szCs w:val="1"/>
                <w:color w:val="auto"/>
              </w:rPr>
            </w:pP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$41.22 - $42.50</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45,900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42.29</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45,900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42.29</w:t>
            </w:r>
          </w:p>
        </w:tc>
        <w:tc>
          <w:tcPr>
            <w:tcW w:w="0" w:type="dxa"/>
            <w:vAlign w:val="bottom"/>
          </w:tcPr>
          <w:p>
            <w:pPr>
              <w:spacing w:after="0"/>
              <w:rPr>
                <w:sz w:val="1"/>
                <w:szCs w:val="1"/>
                <w:color w:val="auto"/>
              </w:rPr>
            </w:pPr>
          </w:p>
        </w:tc>
      </w:tr>
      <w:tr>
        <w:trPr>
          <w:trHeight w:val="27"/>
        </w:trPr>
        <w:tc>
          <w:tcPr>
            <w:tcW w:w="3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$42.51 - $53.22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38,296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36,037</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$53.23 - $55.83</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4,054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54.51</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3,243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54.51</w:t>
            </w:r>
          </w:p>
        </w:tc>
        <w:tc>
          <w:tcPr>
            <w:tcW w:w="0" w:type="dxa"/>
            <w:vAlign w:val="bottom"/>
          </w:tcPr>
          <w:p>
            <w:pPr>
              <w:spacing w:after="0"/>
              <w:rPr>
                <w:sz w:val="1"/>
                <w:szCs w:val="1"/>
                <w:color w:val="auto"/>
              </w:rPr>
            </w:pPr>
          </w:p>
        </w:tc>
      </w:tr>
      <w:tr>
        <w:trPr>
          <w:trHeight w:val="27"/>
        </w:trPr>
        <w:tc>
          <w:tcPr>
            <w:tcW w:w="3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$55.84 - $57.61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61,198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28,930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57.16</w:t>
            </w:r>
          </w:p>
        </w:tc>
        <w:tc>
          <w:tcPr>
            <w:tcW w:w="0" w:type="dxa"/>
            <w:vAlign w:val="bottom"/>
          </w:tcPr>
          <w:p>
            <w:pPr>
              <w:spacing w:after="0"/>
              <w:rPr>
                <w:sz w:val="1"/>
                <w:szCs w:val="1"/>
                <w:color w:val="auto"/>
              </w:rPr>
            </w:pP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$57.62 - $58.51</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745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58.06</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$58.52</w:t>
            </w:r>
          </w:p>
        </w:tc>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$59.59</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78,036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13,900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58.95</w:t>
            </w:r>
          </w:p>
        </w:tc>
        <w:tc>
          <w:tcPr>
            <w:tcW w:w="0" w:type="dxa"/>
            <w:vAlign w:val="bottom"/>
          </w:tcPr>
          <w:p>
            <w:pPr>
              <w:spacing w:after="0"/>
              <w:rPr>
                <w:sz w:val="1"/>
                <w:szCs w:val="1"/>
                <w:color w:val="auto"/>
              </w:rPr>
            </w:pPr>
          </w:p>
        </w:tc>
      </w:tr>
      <w:tr>
        <w:trPr>
          <w:trHeight w:val="243"/>
        </w:trPr>
        <w:tc>
          <w:tcPr>
            <w:tcW w:w="560" w:type="dxa"/>
            <w:vAlign w:val="bottom"/>
          </w:tcPr>
          <w:p>
            <w:pPr>
              <w:ind w:left="40"/>
              <w:spacing w:after="0"/>
              <w:rPr>
                <w:sz w:val="20"/>
                <w:szCs w:val="20"/>
                <w:color w:val="auto"/>
              </w:rPr>
            </w:pPr>
            <w:r>
              <w:rPr>
                <w:rFonts w:ascii="Arial" w:cs="Arial" w:eastAsia="Arial" w:hAnsi="Arial"/>
                <w:sz w:val="18"/>
                <w:szCs w:val="18"/>
                <w:color w:val="auto"/>
                <w:w w:val="90"/>
              </w:rPr>
              <w:t>$59.60</w:t>
            </w:r>
          </w:p>
        </w:tc>
        <w:tc>
          <w:tcPr>
            <w:tcW w:w="2880" w:type="dxa"/>
            <w:vAlign w:val="bottom"/>
          </w:tcPr>
          <w:p>
            <w:pPr>
              <w:ind w:left="20"/>
              <w:spacing w:after="0"/>
              <w:rPr>
                <w:sz w:val="20"/>
                <w:szCs w:val="20"/>
                <w:color w:val="auto"/>
              </w:rPr>
            </w:pPr>
            <w:r>
              <w:rPr>
                <w:rFonts w:ascii="Arial" w:cs="Arial" w:eastAsia="Arial" w:hAnsi="Arial"/>
                <w:sz w:val="18"/>
                <w:szCs w:val="18"/>
                <w:color w:val="auto"/>
              </w:rPr>
              <w:t>- $81.19</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2,320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60.23</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1,160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60.23</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$81.20</w:t>
            </w:r>
          </w:p>
        </w:tc>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$102.16</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126,800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102.16</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 w:type="dxa"/>
            <w:vAlign w:val="bottom"/>
          </w:tcPr>
          <w:p>
            <w:pPr>
              <w:ind w:left="40"/>
              <w:spacing w:after="0"/>
              <w:rPr>
                <w:sz w:val="20"/>
                <w:szCs w:val="20"/>
                <w:color w:val="auto"/>
              </w:rPr>
            </w:pPr>
            <w:r>
              <w:rPr>
                <w:rFonts w:ascii="Arial" w:cs="Arial" w:eastAsia="Arial" w:hAnsi="Arial"/>
                <w:sz w:val="18"/>
                <w:szCs w:val="18"/>
                <w:color w:val="auto"/>
                <w:w w:val="90"/>
              </w:rPr>
              <w:t>$36.48</w:t>
            </w:r>
          </w:p>
        </w:tc>
        <w:tc>
          <w:tcPr>
            <w:tcW w:w="2880" w:type="dxa"/>
            <w:vAlign w:val="bottom"/>
          </w:tcPr>
          <w:p>
            <w:pPr>
              <w:ind w:left="20"/>
              <w:spacing w:after="0"/>
              <w:rPr>
                <w:sz w:val="20"/>
                <w:szCs w:val="20"/>
                <w:color w:val="auto"/>
              </w:rPr>
            </w:pPr>
            <w:r>
              <w:rPr>
                <w:rFonts w:ascii="Arial" w:cs="Arial" w:eastAsia="Arial" w:hAnsi="Arial"/>
                <w:sz w:val="18"/>
                <w:szCs w:val="18"/>
                <w:color w:val="auto"/>
              </w:rPr>
              <w:t>- $102.16</w:t>
            </w:r>
          </w:p>
        </w:tc>
        <w:tc>
          <w:tcPr>
            <w:tcW w:w="12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374,340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2"/>
                <w:szCs w:val="22"/>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68.94</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146,161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47.72</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2"/>
            <w:vMerge w:val="restart"/>
          </w:tcPr>
          <w:p>
            <w:pPr>
              <w:ind w:left="360"/>
              <w:spacing w:after="0"/>
              <w:rPr>
                <w:sz w:val="20"/>
                <w:szCs w:val="20"/>
                <w:color w:val="auto"/>
              </w:rPr>
            </w:pPr>
            <w:r>
              <w:rPr>
                <w:rFonts w:ascii="Arial" w:cs="Arial" w:eastAsia="Arial" w:hAnsi="Arial"/>
                <w:sz w:val="18"/>
                <w:szCs w:val="18"/>
                <w:color w:val="auto"/>
              </w:rPr>
              <w:t>F-34</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right="6780" w:firstLine="8"/>
        <w:spacing w:after="0" w:line="503" w:lineRule="auto"/>
        <w:tabs>
          <w:tab w:leader="none" w:pos="648"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 Stock Incentive Plans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unvested restricted stock awards activity for the year ended December 31, 2013:</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8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834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Fair Value per</w:t>
            </w:r>
          </w:p>
        </w:tc>
      </w:tr>
      <w:tr>
        <w:trPr>
          <w:trHeight w:val="234"/>
        </w:trPr>
        <w:tc>
          <w:tcPr>
            <w:tcW w:w="8340" w:type="dxa"/>
            <w:vAlign w:val="bottom"/>
          </w:tcPr>
          <w:p>
            <w:pPr>
              <w:spacing w:after="0"/>
              <w:rPr>
                <w:sz w:val="20"/>
                <w:szCs w:val="20"/>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Share</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Unvested restricted stock at December 31, 2012</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1,020,673</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66.17</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238,314</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119.84</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(206,248)</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58.64</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Canceled</w:t>
            </w:r>
          </w:p>
        </w:tc>
        <w:tc>
          <w:tcPr>
            <w:tcW w:w="1500" w:type="dxa"/>
            <w:vAlign w:val="bottom"/>
          </w:tcPr>
          <w:p>
            <w:pPr>
              <w:jc w:val="right"/>
              <w:spacing w:after="0"/>
              <w:rPr>
                <w:sz w:val="20"/>
                <w:szCs w:val="20"/>
                <w:color w:val="auto"/>
              </w:rPr>
            </w:pPr>
            <w:r>
              <w:rPr>
                <w:rFonts w:ascii="Arial" w:cs="Arial" w:eastAsia="Arial" w:hAnsi="Arial"/>
                <w:sz w:val="18"/>
                <w:szCs w:val="18"/>
                <w:color w:val="auto"/>
              </w:rPr>
              <w:t>(84,469)</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71.51</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Unvested restricted stock at December 31, 2013</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968,270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80.52</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401(k) Plan</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maintains a 401(k) Plan (the “401(k)”) as a defined contribution retirement plan for all eligible employees. The 401(k) provides for tax-deferred contributions of employees’ salaries, limited to a maximum annual amount as established by the Internal Revenue Service. In 2011 and 2012, the Company matched 50% of employee contributions up to a maximum of 6% of total compensation. In 2013, the Company matched 100% of employee contributions up to a maximum of 4% of total compensation. Amounts contributed to the 401(k) by the Company to match employee contributions for the years ended December 31, 2011, 2012 and 2013 were approximately $1.9 million, $2.7 million and $5.1 million, respectively. The Company had no administrative expenses in connection with the 401(k) plan for the years ended December 31, 2011, 2012 and 2013,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Pension Plan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maintains a company personal pension plan for all eligible employees in the Company’s U.K. offices. The plan is a defined contribution plan. Employees are eligible to contribute a portion of their salaries, subject to a maximum annual amount as established by Her Majesty's Revenue and Customs. In 2011 and 2012, the Company matched 50% of employee contributions up to a maximum of 6% of total compensation. In 2013, the Company's matching contribution was based on the percentage contributed by the employee, up to a maximum of 6% of total compensation. Amounts contributed to the plan by the Company to match employee contributions for the years ended December 31, 2011, 2012 and 2013 were approximately $160,000, $180,000 and $280,000,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of August 1, 2006, the Company introduced an Employee Stock Purchase Plan (“ESPP”), pursuant to which eligible employees participating in the plan authorize the Company to withhold specified amounts from the employees’ compensation and use the withheld amounts to purchase shares of the Company's common stock at 90% of the market price. Participating employees are able to purchase common stock under this plan during each offering period. An offering period begins the second Saturday before each of the Company’s regular pay dates and ends on each of the Company’s regular pay dates. There were 46,186 and 34,895 shares available for purchase under the ESPP as of December 31, 2012 and 2013, respectively and approximately 10,153 and 11,291 shares of the Company’s common stock were purchased under the ESPP during 2012 and 2013, respectively.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121"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10.8</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RESTRICTED STOCK UNIT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STOCK INCENTIVE PLAN</w:t>
      </w:r>
    </w:p>
    <w:p>
      <w:pPr>
        <w:spacing w:after="0" w:line="200" w:lineRule="exact"/>
        <w:rPr>
          <w:sz w:val="20"/>
          <w:szCs w:val="20"/>
          <w:color w:val="auto"/>
        </w:rPr>
      </w:pPr>
    </w:p>
    <w:p>
      <w:pPr>
        <w:spacing w:after="0" w:line="22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CoStar Group, Inc. (the “</w:t>
      </w:r>
      <w:r>
        <w:rPr>
          <w:rFonts w:ascii="Arial" w:cs="Arial" w:eastAsia="Arial" w:hAnsi="Arial"/>
          <w:sz w:val="18"/>
          <w:szCs w:val="18"/>
          <w:i w:val="1"/>
          <w:iCs w:val="1"/>
          <w:color w:val="auto"/>
        </w:rPr>
        <w:t>Company</w:t>
      </w:r>
      <w:r>
        <w:rPr>
          <w:rFonts w:ascii="Arial" w:cs="Arial" w:eastAsia="Arial" w:hAnsi="Arial"/>
          <w:sz w:val="18"/>
          <w:szCs w:val="18"/>
          <w:color w:val="auto"/>
        </w:rPr>
        <w:t>”) has granted you an award of restricted stock units under the CoStar Group, Inc. 2007 Stock Incentive Plan, as amended from time to time (the “</w:t>
      </w:r>
      <w:r>
        <w:rPr>
          <w:rFonts w:ascii="Arial" w:cs="Arial" w:eastAsia="Arial" w:hAnsi="Arial"/>
          <w:sz w:val="18"/>
          <w:szCs w:val="18"/>
          <w:i w:val="1"/>
          <w:iCs w:val="1"/>
          <w:color w:val="auto"/>
        </w:rPr>
        <w:t>Plan</w:t>
      </w:r>
      <w:r>
        <w:rPr>
          <w:rFonts w:ascii="Arial" w:cs="Arial" w:eastAsia="Arial" w:hAnsi="Arial"/>
          <w:sz w:val="18"/>
          <w:szCs w:val="18"/>
          <w:color w:val="auto"/>
        </w:rPr>
        <w:t>”), on the terms and conditions set forth below:</w:t>
      </w:r>
    </w:p>
    <w:p>
      <w:pPr>
        <w:spacing w:after="0" w:line="170" w:lineRule="exact"/>
        <w:rPr>
          <w:sz w:val="20"/>
          <w:szCs w:val="20"/>
          <w:color w:val="auto"/>
        </w:rPr>
      </w:pPr>
    </w:p>
    <w:p>
      <w:pPr>
        <w:ind w:right="200" w:firstLine="656"/>
        <w:spacing w:after="0" w:line="264" w:lineRule="auto"/>
        <w:tabs>
          <w:tab w:leader="none" w:pos="828"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w:t>
      </w:r>
      <w:r>
        <w:rPr>
          <w:rFonts w:ascii="Arial" w:cs="Arial" w:eastAsia="Arial" w:hAnsi="Arial"/>
          <w:sz w:val="18"/>
          <w:szCs w:val="18"/>
          <w:color w:val="auto"/>
        </w:rPr>
        <w:t>. On the issue date indicated above (the “</w:t>
      </w:r>
      <w:r>
        <w:rPr>
          <w:rFonts w:ascii="Arial" w:cs="Arial" w:eastAsia="Arial" w:hAnsi="Arial"/>
          <w:sz w:val="18"/>
          <w:szCs w:val="18"/>
          <w:i w:val="1"/>
          <w:iCs w:val="1"/>
          <w:color w:val="auto"/>
        </w:rPr>
        <w:t>Date of Grant</w:t>
      </w:r>
      <w:r>
        <w:rPr>
          <w:rFonts w:ascii="Arial" w:cs="Arial" w:eastAsia="Arial" w:hAnsi="Arial"/>
          <w:sz w:val="18"/>
          <w:szCs w:val="18"/>
          <w:color w:val="auto"/>
        </w:rPr>
        <w:t>”), the Company hereby grants to you the number of restricted stock units (the “</w:t>
      </w:r>
      <w:r>
        <w:rPr>
          <w:rFonts w:ascii="Arial" w:cs="Arial" w:eastAsia="Arial" w:hAnsi="Arial"/>
          <w:sz w:val="18"/>
          <w:szCs w:val="18"/>
          <w:i w:val="1"/>
          <w:iCs w:val="1"/>
          <w:color w:val="auto"/>
        </w:rPr>
        <w:t>RSUs</w:t>
      </w:r>
      <w:r>
        <w:rPr>
          <w:rFonts w:ascii="Arial" w:cs="Arial" w:eastAsia="Arial" w:hAnsi="Arial"/>
          <w:sz w:val="18"/>
          <w:szCs w:val="18"/>
          <w:color w:val="auto"/>
        </w:rPr>
        <w:t>”) indicated above. Each RSU represents a right to receive a share (each a “</w:t>
      </w:r>
      <w:r>
        <w:rPr>
          <w:rFonts w:ascii="Arial" w:cs="Arial" w:eastAsia="Arial" w:hAnsi="Arial"/>
          <w:sz w:val="18"/>
          <w:szCs w:val="18"/>
          <w:i w:val="1"/>
          <w:iCs w:val="1"/>
          <w:color w:val="auto"/>
        </w:rPr>
        <w:t>Share</w:t>
      </w:r>
      <w:r>
        <w:rPr>
          <w:rFonts w:ascii="Arial" w:cs="Arial" w:eastAsia="Arial" w:hAnsi="Arial"/>
          <w:sz w:val="18"/>
          <w:szCs w:val="18"/>
          <w:color w:val="auto"/>
        </w:rPr>
        <w:t>”) of common stock of the Company (the “</w:t>
      </w:r>
      <w:r>
        <w:rPr>
          <w:rFonts w:ascii="Arial" w:cs="Arial" w:eastAsia="Arial" w:hAnsi="Arial"/>
          <w:sz w:val="18"/>
          <w:szCs w:val="18"/>
          <w:i w:val="1"/>
          <w:iCs w:val="1"/>
          <w:color w:val="auto"/>
        </w:rPr>
        <w:t>Common</w:t>
      </w:r>
      <w:r>
        <w:rPr>
          <w:rFonts w:ascii="Arial" w:cs="Arial" w:eastAsia="Arial" w:hAnsi="Arial"/>
          <w:sz w:val="18"/>
          <w:szCs w:val="18"/>
          <w:color w:val="auto"/>
        </w:rPr>
        <w:t xml:space="preserve"> </w:t>
      </w:r>
      <w:r>
        <w:rPr>
          <w:rFonts w:ascii="Arial" w:cs="Arial" w:eastAsia="Arial" w:hAnsi="Arial"/>
          <w:sz w:val="18"/>
          <w:szCs w:val="18"/>
          <w:i w:val="1"/>
          <w:iCs w:val="1"/>
          <w:color w:val="auto"/>
        </w:rPr>
        <w:t>Stock</w:t>
      </w:r>
      <w:r>
        <w:rPr>
          <w:rFonts w:ascii="Arial" w:cs="Arial" w:eastAsia="Arial" w:hAnsi="Arial"/>
          <w:sz w:val="18"/>
          <w:szCs w:val="18"/>
          <w:color w:val="auto"/>
        </w:rPr>
        <w:t>”), subject to the terms and conditions set forth below (the “</w:t>
      </w:r>
      <w:r>
        <w:rPr>
          <w:rFonts w:ascii="Arial" w:cs="Arial" w:eastAsia="Arial" w:hAnsi="Arial"/>
          <w:sz w:val="18"/>
          <w:szCs w:val="18"/>
          <w:i w:val="1"/>
          <w:iCs w:val="1"/>
          <w:color w:val="auto"/>
        </w:rPr>
        <w:t>RSU Grant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180" w:firstLine="656"/>
        <w:spacing w:after="0" w:line="255" w:lineRule="auto"/>
        <w:tabs>
          <w:tab w:leader="none" w:pos="828"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Governing Plan</w:t>
      </w:r>
      <w:r>
        <w:rPr>
          <w:rFonts w:ascii="Arial" w:cs="Arial" w:eastAsia="Arial" w:hAnsi="Arial"/>
          <w:sz w:val="18"/>
          <w:szCs w:val="18"/>
          <w:color w:val="auto"/>
        </w:rPr>
        <w:t>. This RSU Grant is subject in all respects to the applicable provisions of the Plan, a copy of the current form of which may be accessed, viewed and/or printed under the “Personal Profile and Passwords” section of the Solium Shareworks™ website under “Miscellaneous Account Information”. By accepting (and electronically signing) this agreement (the “</w:t>
      </w:r>
      <w:r>
        <w:rPr>
          <w:rFonts w:ascii="Arial" w:cs="Arial" w:eastAsia="Arial" w:hAnsi="Arial"/>
          <w:sz w:val="18"/>
          <w:szCs w:val="18"/>
          <w:i w:val="1"/>
          <w:iCs w:val="1"/>
          <w:color w:val="auto"/>
        </w:rPr>
        <w:t>Agreement</w:t>
      </w:r>
      <w:r>
        <w:rPr>
          <w:rFonts w:ascii="Arial" w:cs="Arial" w:eastAsia="Arial" w:hAnsi="Arial"/>
          <w:sz w:val="18"/>
          <w:szCs w:val="18"/>
          <w:color w:val="auto"/>
        </w:rPr>
        <w:t>”), you acknowledge that you have received and read the Plan. This Agreement incorporates the Plan by reference and specifies other applicable terms and conditions. All capitalized terms not defined by this Agreement have the meanings given in the Plan. Whenever a conflict may arise between the terms of this Agreement and the terms of the Plan, the terms of the Plan shall control.</w:t>
      </w:r>
    </w:p>
    <w:p>
      <w:pPr>
        <w:spacing w:after="0" w:line="193" w:lineRule="exact"/>
        <w:rPr>
          <w:rFonts w:ascii="Arial" w:cs="Arial" w:eastAsia="Arial" w:hAnsi="Arial"/>
          <w:sz w:val="18"/>
          <w:szCs w:val="18"/>
          <w:color w:val="auto"/>
        </w:rPr>
      </w:pPr>
    </w:p>
    <w:p>
      <w:pPr>
        <w:ind w:left="840" w:hanging="184"/>
        <w:spacing w:after="0"/>
        <w:tabs>
          <w:tab w:leader="none" w:pos="84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Lapse of Restrictions/Settlement of RSUs</w:t>
      </w:r>
      <w:r>
        <w:rPr>
          <w:rFonts w:ascii="Arial" w:cs="Arial" w:eastAsia="Arial" w:hAnsi="Arial"/>
          <w:sz w:val="18"/>
          <w:szCs w:val="18"/>
          <w:color w:val="auto"/>
        </w:rPr>
        <w:t>.</w:t>
      </w:r>
    </w:p>
    <w:p>
      <w:pPr>
        <w:spacing w:after="0" w:line="225" w:lineRule="exact"/>
        <w:rPr>
          <w:sz w:val="20"/>
          <w:szCs w:val="20"/>
          <w:color w:val="auto"/>
        </w:rPr>
      </w:pPr>
    </w:p>
    <w:p>
      <w:pPr>
        <w:ind w:left="1300" w:right="40" w:hanging="644"/>
        <w:spacing w:after="0" w:line="259"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RSUs shall vest as indicated in the vest schedule above. In accordance with Section 4 below, any portion of the RSUs that have not vested at your termination of employment, consultancy, directorship or other position making you an eligible participant under the Plan will not thereafter vest, unless the Compensation Committee of the Company’s Board of Directors (or other administrator of the Plan, the “Administrator”) determines otherwise.</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RSUs shall vest immediately upon the occurrence of a Change in Control.</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means the occurrence of any one or more of the following events:</w:t>
      </w:r>
    </w:p>
    <w:p>
      <w:pPr>
        <w:spacing w:after="0" w:line="225" w:lineRule="exact"/>
        <w:rPr>
          <w:rFonts w:ascii="Arial" w:cs="Arial" w:eastAsia="Arial" w:hAnsi="Arial"/>
          <w:sz w:val="18"/>
          <w:szCs w:val="18"/>
          <w:color w:val="auto"/>
        </w:rPr>
      </w:pPr>
    </w:p>
    <w:p>
      <w:pPr>
        <w:ind w:left="2600" w:right="100" w:hanging="647"/>
        <w:spacing w:after="0" w:line="257" w:lineRule="auto"/>
        <w:tabs>
          <w:tab w:leader="none" w:pos="26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 Person (as the term person is used for purposes of Section 13(d) or 14(d) of the Securities Exchange Act of 1934, as amended) (other than the Company, any Company subsidiary, any Company benefit plan, or any underwriter temporarily holding securities for an offering of such securities) acquires ownership of more than 80% of the undiluted total voting power of the Company’s then outstanding securities eligible to vote to elect members of the Board (the “</w:t>
      </w:r>
      <w:r>
        <w:rPr>
          <w:rFonts w:ascii="Arial" w:cs="Arial" w:eastAsia="Arial" w:hAnsi="Arial"/>
          <w:sz w:val="18"/>
          <w:szCs w:val="18"/>
          <w:i w:val="1"/>
          <w:iCs w:val="1"/>
          <w:color w:val="auto"/>
        </w:rPr>
        <w:t>Company Voting</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2600" w:right="120" w:hanging="647"/>
        <w:spacing w:after="0" w:line="257" w:lineRule="auto"/>
        <w:tabs>
          <w:tab w:leader="none" w:pos="26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consummation of a merger, consolidation or reorganization of the Company with or into any other entity, unless the holders of the Company Voting Securities outstanding immediately before such consummation, together with any trustee or other fiduciary holding securities under a Company benefit plan, hold securities that represent immediately after such merger or consolidation at least 20% of the combined voting power of the then outstanding voting securities of either the Company or the other surviving entity or its parent; or</w:t>
      </w:r>
    </w:p>
    <w:p>
      <w:pPr>
        <w:spacing w:after="0" w:line="188" w:lineRule="exact"/>
        <w:rPr>
          <w:rFonts w:ascii="Arial" w:cs="Arial" w:eastAsia="Arial" w:hAnsi="Arial"/>
          <w:sz w:val="18"/>
          <w:szCs w:val="18"/>
          <w:color w:val="auto"/>
        </w:rPr>
      </w:pPr>
    </w:p>
    <w:p>
      <w:pPr>
        <w:ind w:left="2600" w:right="140" w:hanging="647"/>
        <w:spacing w:after="0" w:line="264" w:lineRule="auto"/>
        <w:tabs>
          <w:tab w:leader="none" w:pos="26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the stockholders of the Company approve (A) a plan of complete liquidation or dissolution of the Company or (B) an agreement for the Company’s sale or disposition of all or substantially all of the Company’s assets, </w:t>
      </w:r>
      <w:r>
        <w:rPr>
          <w:rFonts w:ascii="Arial" w:cs="Arial" w:eastAsia="Arial" w:hAnsi="Arial"/>
          <w:sz w:val="18"/>
          <w:szCs w:val="18"/>
          <w:i w:val="1"/>
          <w:iCs w:val="1"/>
          <w:color w:val="auto"/>
        </w:rPr>
        <w:t>and</w:t>
      </w:r>
      <w:r>
        <w:rPr>
          <w:rFonts w:ascii="Arial" w:cs="Arial" w:eastAsia="Arial" w:hAnsi="Arial"/>
          <w:sz w:val="18"/>
          <w:szCs w:val="18"/>
          <w:color w:val="auto"/>
        </w:rPr>
        <w:t xml:space="preserve"> such liquidation, dissolution, sale or disposition is consummated.</w:t>
      </w:r>
    </w:p>
    <w:p>
      <w:pPr>
        <w:sectPr>
          <w:pgSz w:w="11900" w:h="16838" w:orient="portrait"/>
          <w:cols w:equalWidth="0" w:num="1">
            <w:col w:w="11420"/>
          </w:cols>
          <w:pgMar w:left="240" w:top="121" w:right="239" w:bottom="1440" w:gutter="0" w:footer="0" w:header="0"/>
        </w:sectPr>
      </w:pPr>
    </w:p>
    <w:bookmarkStart w:id="93" w:name="page94"/>
    <w:bookmarkEnd w:id="93"/>
    <w:p>
      <w:pPr>
        <w:ind w:left="1260" w:right="460"/>
        <w:spacing w:after="0" w:line="277" w:lineRule="auto"/>
        <w:rPr>
          <w:sz w:val="20"/>
          <w:szCs w:val="20"/>
          <w:color w:val="auto"/>
        </w:rPr>
      </w:pPr>
      <w:r>
        <w:rPr>
          <w:rFonts w:ascii="Arial" w:cs="Arial" w:eastAsia="Arial" w:hAnsi="Arial"/>
          <w:sz w:val="18"/>
          <w:szCs w:val="18"/>
          <w:color w:val="auto"/>
        </w:rPr>
        <w:t>Even if other tests are met, a Change in Control has not occurred under any circumstances in which the Company files for bankruptcy protection or is reorganized following a bankruptcy filing.</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provisions of Section 5 will also apply if the Change in Control is a Substantial Corporate Change (as defined in those provisions).</w:t>
      </w:r>
    </w:p>
    <w:p>
      <w:pPr>
        <w:spacing w:after="0" w:line="237" w:lineRule="exact"/>
        <w:rPr>
          <w:sz w:val="20"/>
          <w:szCs w:val="20"/>
          <w:color w:val="auto"/>
        </w:rPr>
      </w:pPr>
    </w:p>
    <w:p>
      <w:pPr>
        <w:jc w:val="both"/>
        <w:ind w:left="1260" w:right="420" w:hanging="644"/>
        <w:spacing w:after="0" w:line="312" w:lineRule="auto"/>
        <w:tabs>
          <w:tab w:leader="none" w:pos="12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Administrator may, in its sole discretion, accelerate the time at which your RSUs shall vest; provided, that, except in the case of a Change in Control or your death or disability, the RSUs shall not vest in full (i) before the one-year anniversary of the Date of Grant if subject to achievement of performance criteria, and (ii) in all other cases, before the three-year anniversary of the Date of Grant.</w:t>
      </w:r>
    </w:p>
    <w:p>
      <w:pPr>
        <w:spacing w:after="0" w:line="146" w:lineRule="exact"/>
        <w:rPr>
          <w:rFonts w:ascii="Arial" w:cs="Arial" w:eastAsia="Arial" w:hAnsi="Arial"/>
          <w:sz w:val="16"/>
          <w:szCs w:val="16"/>
          <w:color w:val="auto"/>
        </w:rPr>
      </w:pPr>
    </w:p>
    <w:p>
      <w:pPr>
        <w:ind w:left="1260" w:right="220" w:hanging="644"/>
        <w:spacing w:after="0" w:line="264" w:lineRule="auto"/>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vesting period of the RSUs may be adjusted by the Administrator to reflect the decreased level of employment during any period in which you are on an approved leave of absence or employed on a less than full time basis, provided, that the Administrator may take into consideration any accounting consequences to the Company.</w:t>
      </w:r>
    </w:p>
    <w:p>
      <w:pPr>
        <w:spacing w:after="0" w:line="181" w:lineRule="exact"/>
        <w:rPr>
          <w:rFonts w:ascii="Arial" w:cs="Arial" w:eastAsia="Arial" w:hAnsi="Arial"/>
          <w:sz w:val="18"/>
          <w:szCs w:val="18"/>
          <w:color w:val="auto"/>
        </w:rPr>
      </w:pPr>
    </w:p>
    <w:p>
      <w:pPr>
        <w:ind w:left="1260" w:right="120" w:hanging="644"/>
        <w:spacing w:after="0" w:line="279" w:lineRule="auto"/>
        <w:tabs>
          <w:tab w:leader="none" w:pos="12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RSUs shall be settled by the delivery to you of one Share per vested RSU as soon as reasonably practicable following the vesting of such RSU pursuant to this Section 3, and in all events no later than March 15 of the year following the year of vesting (unless earlier delivery is required by Section 409A of the Internal Revenue Code or delivery is deferred pursuant to a nonqualified deferred compensation plan in accordance with the requirements of Section 409A of the Internal Revenue Code).</w:t>
      </w:r>
    </w:p>
    <w:p>
      <w:pPr>
        <w:spacing w:after="0" w:line="171" w:lineRule="exact"/>
        <w:rPr>
          <w:sz w:val="20"/>
          <w:szCs w:val="20"/>
          <w:color w:val="auto"/>
        </w:rPr>
      </w:pPr>
    </w:p>
    <w:p>
      <w:pPr>
        <w:ind w:left="-40" w:right="60" w:firstLine="656"/>
        <w:spacing w:after="0" w:line="259" w:lineRule="auto"/>
        <w:tabs>
          <w:tab w:leader="none" w:pos="78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Notwithstanding Section 3 above, if your service as a director, officer, employee or consultant (as applicable) of the Company or any of its Subsidiaries is terminated, the RSUs shall immediately terminate and be cancelled to the extent they are not vested on the date of your termination, and any RSUs subject to this Agreement which have not vested on or before that date shall be forfeited without the payment of any additional consideration.</w:t>
      </w:r>
    </w:p>
    <w:p>
      <w:pPr>
        <w:spacing w:after="0" w:line="186" w:lineRule="exact"/>
        <w:rPr>
          <w:rFonts w:ascii="Arial" w:cs="Arial" w:eastAsia="Arial" w:hAnsi="Arial"/>
          <w:sz w:val="18"/>
          <w:szCs w:val="18"/>
          <w:color w:val="auto"/>
        </w:rPr>
      </w:pPr>
    </w:p>
    <w:p>
      <w:pPr>
        <w:ind w:left="-40" w:right="520" w:firstLine="656"/>
        <w:spacing w:after="0" w:line="277" w:lineRule="auto"/>
        <w:tabs>
          <w:tab w:leader="none" w:pos="78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Corporate Change</w:t>
      </w:r>
      <w:r>
        <w:rPr>
          <w:rFonts w:ascii="Arial" w:cs="Arial" w:eastAsia="Arial" w:hAnsi="Arial"/>
          <w:sz w:val="18"/>
          <w:szCs w:val="18"/>
          <w:color w:val="auto"/>
        </w:rPr>
        <w:t>. Upon a Substantial Corporate Change, unless the Board determines otherwise, any unvested RSUs will fully vest unless provision is made in writing in connection with such transaction for:</w:t>
      </w:r>
    </w:p>
    <w:p>
      <w:pPr>
        <w:spacing w:after="0" w:line="170" w:lineRule="exact"/>
        <w:rPr>
          <w:sz w:val="20"/>
          <w:szCs w:val="20"/>
          <w:color w:val="auto"/>
        </w:rPr>
      </w:pPr>
    </w:p>
    <w:p>
      <w:pPr>
        <w:ind w:left="920" w:hanging="304"/>
        <w:spacing w:after="0"/>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assumption or continuation of the outstanding RSUs; or</w:t>
      </w:r>
    </w:p>
    <w:p>
      <w:pPr>
        <w:spacing w:after="0" w:line="225" w:lineRule="exact"/>
        <w:rPr>
          <w:rFonts w:ascii="Arial" w:cs="Arial" w:eastAsia="Arial" w:hAnsi="Arial"/>
          <w:sz w:val="18"/>
          <w:szCs w:val="18"/>
          <w:color w:val="auto"/>
        </w:rPr>
      </w:pPr>
    </w:p>
    <w:p>
      <w:pPr>
        <w:ind w:left="1260" w:right="340" w:hanging="644"/>
        <w:spacing w:after="0" w:line="277" w:lineRule="auto"/>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substitution for such RSUs, with appropriate adjustments as to the number and kind of shares of stock and prices with respect to the underlying Shares, in which event the RSUs will continue in the manner and under the terms so provided.</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i w:val="1"/>
          <w:iCs w:val="1"/>
          <w:color w:val="auto"/>
        </w:rPr>
        <w:t>Substantial Corporate Change</w:t>
      </w:r>
      <w:r>
        <w:rPr>
          <w:rFonts w:ascii="Arial" w:cs="Arial" w:eastAsia="Arial" w:hAnsi="Arial"/>
          <w:sz w:val="18"/>
          <w:szCs w:val="18"/>
          <w:color w:val="auto"/>
        </w:rPr>
        <w:t>” means the occurrence of any one or more of the following events:</w:t>
      </w:r>
    </w:p>
    <w:p>
      <w:pPr>
        <w:spacing w:after="0" w:line="225" w:lineRule="exact"/>
        <w:rPr>
          <w:sz w:val="20"/>
          <w:szCs w:val="20"/>
          <w:color w:val="auto"/>
        </w:rPr>
      </w:pPr>
    </w:p>
    <w:p>
      <w:pPr>
        <w:ind w:left="1920" w:right="160" w:hanging="655"/>
        <w:spacing w:after="0" w:line="259" w:lineRule="auto"/>
        <w:tabs>
          <w:tab w:leader="none" w:pos="1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Person (as the term person is used for purposes of Section 13(d) or 14(d) of the Securities Exchange Act of 1934, as amended) (other than the Company, any Company subsidiary, any Company benefit plan, or any underwriter temporarily holding securities for an offering of such securities) acquires ownership of 100% of the combined voting power of all classes of stock of the Company;</w:t>
      </w:r>
    </w:p>
    <w:p>
      <w:pPr>
        <w:spacing w:after="0" w:line="186" w:lineRule="exact"/>
        <w:rPr>
          <w:rFonts w:ascii="Arial" w:cs="Arial" w:eastAsia="Arial" w:hAnsi="Arial"/>
          <w:sz w:val="18"/>
          <w:szCs w:val="18"/>
          <w:color w:val="auto"/>
        </w:rPr>
      </w:pPr>
    </w:p>
    <w:p>
      <w:pPr>
        <w:ind w:left="1920" w:hanging="655"/>
        <w:spacing w:after="0" w:line="259" w:lineRule="auto"/>
        <w:tabs>
          <w:tab w:leader="none" w:pos="1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merger, consolidation or reorganization of the Company with or into one or more entities in which the Company is not the surviving corporation (other than a merger or consolidation with a wholly owned subsidiary, a reincorporation of the Company in a different jurisdiction or other transaction in which there is no substantial change in the stockholders of the Company or their relative stock holdings);</w:t>
      </w:r>
    </w:p>
    <w:p>
      <w:pPr>
        <w:spacing w:after="0" w:line="186" w:lineRule="exact"/>
        <w:rPr>
          <w:rFonts w:ascii="Arial" w:cs="Arial" w:eastAsia="Arial" w:hAnsi="Arial"/>
          <w:sz w:val="18"/>
          <w:szCs w:val="18"/>
          <w:color w:val="auto"/>
        </w:rPr>
      </w:pPr>
    </w:p>
    <w:p>
      <w:pPr>
        <w:ind w:left="1920" w:right="20" w:hanging="655"/>
        <w:spacing w:after="0" w:line="259" w:lineRule="auto"/>
        <w:tabs>
          <w:tab w:leader="none" w:pos="1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merger, consolidation or reorganization of the Company in which the Company is the surviving corporation, but after which the stockholders of the Company immediately prior to such merger (other than any stockholder that merges, or which owns or controls another corporation that merges, with the Company in such merger) cease to own their shares or other equity interest in the Company;</w:t>
      </w:r>
    </w:p>
    <w:p>
      <w:pPr>
        <w:spacing w:after="0" w:line="186" w:lineRule="exact"/>
        <w:rPr>
          <w:rFonts w:ascii="Arial" w:cs="Arial" w:eastAsia="Arial" w:hAnsi="Arial"/>
          <w:sz w:val="18"/>
          <w:szCs w:val="18"/>
          <w:color w:val="auto"/>
        </w:rPr>
      </w:pPr>
    </w:p>
    <w:p>
      <w:pPr>
        <w:ind w:left="1920" w:hanging="655"/>
        <w:spacing w:after="0"/>
        <w:tabs>
          <w:tab w:leader="none" w:pos="1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liquidation or dissolution of the Company; or</w:t>
      </w:r>
    </w:p>
    <w:p>
      <w:pPr>
        <w:spacing w:after="0" w:line="225" w:lineRule="exact"/>
        <w:rPr>
          <w:rFonts w:ascii="Arial" w:cs="Arial" w:eastAsia="Arial" w:hAnsi="Arial"/>
          <w:sz w:val="18"/>
          <w:szCs w:val="18"/>
          <w:color w:val="auto"/>
        </w:rPr>
      </w:pPr>
    </w:p>
    <w:p>
      <w:pPr>
        <w:ind w:left="1920" w:hanging="655"/>
        <w:spacing w:after="0"/>
        <w:tabs>
          <w:tab w:leader="none" w:pos="1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sale or disposition of all or substantially all of the Company’s assets.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80" w:top="584" w:right="259" w:bottom="1440" w:gutter="0" w:footer="0" w:header="0"/>
        </w:sectPr>
      </w:pPr>
    </w:p>
    <w:bookmarkStart w:id="94" w:name="page95"/>
    <w:bookmarkEnd w:id="94"/>
    <w:p>
      <w:pPr>
        <w:ind w:right="180" w:firstLine="656"/>
        <w:spacing w:after="0" w:line="286" w:lineRule="auto"/>
        <w:tabs>
          <w:tab w:leader="none" w:pos="828"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Restriction on Sale or Other Transfer</w:t>
      </w:r>
      <w:r>
        <w:rPr>
          <w:rFonts w:ascii="Arial" w:cs="Arial" w:eastAsia="Arial" w:hAnsi="Arial"/>
          <w:sz w:val="17"/>
          <w:szCs w:val="17"/>
          <w:color w:val="auto"/>
        </w:rPr>
        <w:t>. You shall not sell, pledge, assign, transfer, hypothecate or otherwise dispose of the RSUs, and such RSUs shall not be subject to execution, attachment or similar legal process. Any attempt to sell, pledge, assign, transfer, hypothecate or otherwise dispose of the RSUs, or to subject the RSUs to execution, attachment or similar legal process, shall be null and void.</w:t>
      </w:r>
    </w:p>
    <w:p>
      <w:pPr>
        <w:spacing w:after="0" w:line="165" w:lineRule="exact"/>
        <w:rPr>
          <w:rFonts w:ascii="Arial" w:cs="Arial" w:eastAsia="Arial" w:hAnsi="Arial"/>
          <w:sz w:val="17"/>
          <w:szCs w:val="17"/>
          <w:color w:val="auto"/>
        </w:rPr>
      </w:pPr>
    </w:p>
    <w:p>
      <w:pPr>
        <w:ind w:right="180" w:firstLine="656"/>
        <w:spacing w:after="0" w:line="277" w:lineRule="auto"/>
        <w:tabs>
          <w:tab w:leader="none" w:pos="828"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Procedure for Issuance of Shares</w:t>
      </w:r>
      <w:r>
        <w:rPr>
          <w:rFonts w:ascii="Arial" w:cs="Arial" w:eastAsia="Arial" w:hAnsi="Arial"/>
          <w:sz w:val="18"/>
          <w:szCs w:val="18"/>
          <w:color w:val="auto"/>
        </w:rPr>
        <w:t>. Following each applicable vesting date, the Company will issue stock certificates in your name for the Shares issued in settlement of the RSUs, provided that</w:t>
      </w:r>
    </w:p>
    <w:p>
      <w:pPr>
        <w:spacing w:after="0" w:line="170" w:lineRule="exact"/>
        <w:rPr>
          <w:sz w:val="20"/>
          <w:szCs w:val="20"/>
          <w:color w:val="auto"/>
        </w:rPr>
      </w:pPr>
    </w:p>
    <w:p>
      <w:pPr>
        <w:ind w:left="960" w:hanging="304"/>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you have complied with any requests for representations under the Plan;</w:t>
      </w:r>
    </w:p>
    <w:p>
      <w:pPr>
        <w:spacing w:after="0" w:line="225"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 has received proof satisfactory to the Company that a person seeking to receive the Shares after your death or disability is authorized and entitled to receive the Shares; and</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you have satisfied any federal, state, or local tax withholding obligations.</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Company will round down any fractional Shares to be issued in settlement of the RSUs but will not make any cash or other payments in settlement of fractional shares eliminated by rounding. Notwithstanding the foregoing, the Company, in its sole discretion, may also use alternatives to issuing physical stock certificates, such as “book entry only” recordation.</w:t>
      </w:r>
    </w:p>
    <w:p>
      <w:pPr>
        <w:spacing w:after="0" w:line="181" w:lineRule="exact"/>
        <w:rPr>
          <w:sz w:val="20"/>
          <w:szCs w:val="20"/>
          <w:color w:val="auto"/>
        </w:rPr>
      </w:pPr>
    </w:p>
    <w:p>
      <w:pPr>
        <w:ind w:firstLine="656"/>
        <w:spacing w:after="0" w:line="312" w:lineRule="auto"/>
        <w:tabs>
          <w:tab w:leader="none" w:pos="828"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Compliance with Securities Laws</w:t>
      </w:r>
      <w:r>
        <w:rPr>
          <w:rFonts w:ascii="Arial" w:cs="Arial" w:eastAsia="Arial" w:hAnsi="Arial"/>
          <w:sz w:val="16"/>
          <w:szCs w:val="16"/>
          <w:color w:val="auto"/>
        </w:rPr>
        <w:t>. Upon the issuance of any Shares pursuant to this Agreement in connection with the vesting of the RSUs, you shall enter into such written representations, warranties and agreements as the Company may reasonably request in order to comply with applicable securities laws or this Agreement. Nothing herein obligates the Company to register or qualify the Shares pursuant to any federal or state securities laws.</w:t>
      </w:r>
    </w:p>
    <w:p>
      <w:pPr>
        <w:spacing w:after="0" w:line="146" w:lineRule="exact"/>
        <w:rPr>
          <w:rFonts w:ascii="Arial" w:cs="Arial" w:eastAsia="Arial" w:hAnsi="Arial"/>
          <w:sz w:val="16"/>
          <w:szCs w:val="16"/>
          <w:color w:val="auto"/>
        </w:rPr>
      </w:pPr>
    </w:p>
    <w:p>
      <w:pPr>
        <w:ind w:right="20" w:firstLine="656"/>
        <w:spacing w:after="0" w:line="257" w:lineRule="auto"/>
        <w:tabs>
          <w:tab w:leader="none" w:pos="828"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Notwithstanding any of the other provisions hereof, you agree that the Company will not be obligated to issue any Shares pursuant to this Agreement, if issuing the Shares would violate any provision of any law or regulation of any governmental authority. Notwithstanding anything to the contrary in Section 7, the certificates representing the Shares of Common Stock issued in connection with the settlement of RSUs pursuant to this Agreement will be stamped or otherwise imprinted with legends in such form as the Company may require with respect to any applicable restrictions on sale or transfer.</w:t>
      </w:r>
    </w:p>
    <w:p>
      <w:pPr>
        <w:spacing w:after="0" w:line="188" w:lineRule="exact"/>
        <w:rPr>
          <w:rFonts w:ascii="Arial" w:cs="Arial" w:eastAsia="Arial" w:hAnsi="Arial"/>
          <w:sz w:val="18"/>
          <w:szCs w:val="18"/>
          <w:color w:val="auto"/>
        </w:rPr>
      </w:pPr>
    </w:p>
    <w:p>
      <w:pPr>
        <w:ind w:right="100" w:firstLine="656"/>
        <w:spacing w:after="0" w:line="277" w:lineRule="auto"/>
        <w:tabs>
          <w:tab w:leader="none" w:pos="918"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Voting and Other Rights</w:t>
      </w:r>
      <w:r>
        <w:rPr>
          <w:rFonts w:ascii="Arial" w:cs="Arial" w:eastAsia="Arial" w:hAnsi="Arial"/>
          <w:sz w:val="18"/>
          <w:szCs w:val="18"/>
          <w:color w:val="auto"/>
        </w:rPr>
        <w:t>. The RSUs do not include any powers, preferences, and rights of a holder of Common Stock with respect to the Shares until such times as Shares are issued in settlement of the RSUs.</w:t>
      </w:r>
    </w:p>
    <w:p>
      <w:pPr>
        <w:spacing w:after="0" w:line="170" w:lineRule="exact"/>
        <w:rPr>
          <w:rFonts w:ascii="Arial" w:cs="Arial" w:eastAsia="Arial" w:hAnsi="Arial"/>
          <w:sz w:val="18"/>
          <w:szCs w:val="18"/>
          <w:color w:val="auto"/>
        </w:rPr>
      </w:pPr>
    </w:p>
    <w:p>
      <w:pPr>
        <w:ind w:right="160" w:firstLine="656"/>
        <w:spacing w:after="0" w:line="259" w:lineRule="auto"/>
        <w:tabs>
          <w:tab w:leader="none" w:pos="911"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Restrictions on Resales</w:t>
      </w:r>
      <w:r>
        <w:rPr>
          <w:rFonts w:ascii="Arial" w:cs="Arial" w:eastAsia="Arial" w:hAnsi="Arial"/>
          <w:sz w:val="18"/>
          <w:szCs w:val="18"/>
          <w:color w:val="auto"/>
        </w:rPr>
        <w:t>. The Company may impose such restrictions, conditions or limitations as it determines appropriate as to the timing and manner of any resales by you or other subsequent transfers by you of any shares of Common Stock issued as a result of the vesting of the RSUs, including without limitation (a) restrictions under an insider trading policy and (b) restrictions as to the use of a specified brokerage firm for such resales or other transfers.</w:t>
      </w:r>
    </w:p>
    <w:p>
      <w:pPr>
        <w:spacing w:after="0" w:line="186" w:lineRule="exact"/>
        <w:rPr>
          <w:rFonts w:ascii="Arial" w:cs="Arial" w:eastAsia="Arial" w:hAnsi="Arial"/>
          <w:sz w:val="18"/>
          <w:szCs w:val="18"/>
          <w:color w:val="auto"/>
        </w:rPr>
      </w:pPr>
    </w:p>
    <w:p>
      <w:pPr>
        <w:jc w:val="both"/>
        <w:ind w:firstLine="656"/>
        <w:spacing w:after="0" w:line="312" w:lineRule="auto"/>
        <w:tabs>
          <w:tab w:leader="none" w:pos="918"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Not an Employment Contract</w:t>
      </w:r>
      <w:r>
        <w:rPr>
          <w:rFonts w:ascii="Arial" w:cs="Arial" w:eastAsia="Arial" w:hAnsi="Arial"/>
          <w:sz w:val="16"/>
          <w:szCs w:val="16"/>
          <w:color w:val="auto"/>
        </w:rPr>
        <w:t>. Nothing in this Agreement restricts the right of the Company or any of its affiliates to terminate your employment at any time, with or without cause. The termination of employment, whether by the Company or any of its affiliates or otherwise, and regardless of the reason therefore, has the consequences provided for hereunder, under the Plan and under any applicable employment or severance agreement.</w:t>
      </w:r>
    </w:p>
    <w:p>
      <w:pPr>
        <w:spacing w:after="0" w:line="146" w:lineRule="exact"/>
        <w:rPr>
          <w:rFonts w:ascii="Arial" w:cs="Arial" w:eastAsia="Arial" w:hAnsi="Arial"/>
          <w:sz w:val="16"/>
          <w:szCs w:val="16"/>
          <w:color w:val="auto"/>
        </w:rPr>
      </w:pPr>
    </w:p>
    <w:p>
      <w:pPr>
        <w:ind w:right="80" w:firstLine="656"/>
        <w:spacing w:after="0" w:line="264" w:lineRule="auto"/>
        <w:tabs>
          <w:tab w:leader="none" w:pos="918"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Non-Transferability of RSUs</w:t>
      </w:r>
      <w:r>
        <w:rPr>
          <w:rFonts w:ascii="Arial" w:cs="Arial" w:eastAsia="Arial" w:hAnsi="Arial"/>
          <w:sz w:val="18"/>
          <w:szCs w:val="18"/>
          <w:color w:val="auto"/>
        </w:rPr>
        <w:t>. You may not assign or transfer the RSUs to anyone other than by will or the laws of descent and distribution until Shares are issued in settlement of the RSUs pursuant hereto. The Company may cancel the RSUs if you attempt to assign or transfer them in a manner inconsistent with this Section 13.</w:t>
      </w:r>
    </w:p>
    <w:p>
      <w:pPr>
        <w:spacing w:after="0" w:line="181" w:lineRule="exact"/>
        <w:rPr>
          <w:rFonts w:ascii="Arial" w:cs="Arial" w:eastAsia="Arial" w:hAnsi="Arial"/>
          <w:sz w:val="18"/>
          <w:szCs w:val="18"/>
          <w:color w:val="auto"/>
        </w:rPr>
      </w:pPr>
    </w:p>
    <w:p>
      <w:pPr>
        <w:ind w:left="920" w:hanging="264"/>
        <w:spacing w:after="0"/>
        <w:tabs>
          <w:tab w:leader="none" w:pos="92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Withholding of Tax</w:t>
      </w:r>
      <w:r>
        <w:rPr>
          <w:rFonts w:ascii="Arial" w:cs="Arial" w:eastAsia="Arial" w:hAnsi="Arial"/>
          <w:sz w:val="18"/>
          <w:szCs w:val="18"/>
          <w:color w:val="auto"/>
        </w:rPr>
        <w:t>.</w:t>
      </w:r>
    </w:p>
    <w:p>
      <w:pPr>
        <w:spacing w:after="0" w:line="225" w:lineRule="exact"/>
        <w:rPr>
          <w:sz w:val="20"/>
          <w:szCs w:val="20"/>
          <w:color w:val="auto"/>
        </w:rPr>
      </w:pPr>
    </w:p>
    <w:p>
      <w:pPr>
        <w:ind w:left="1300" w:hanging="644"/>
        <w:spacing w:after="0" w:line="291" w:lineRule="auto"/>
        <w:tabs>
          <w:tab w:leader="none" w:pos="13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You understand and agree that the Company has not advised you regarding your income tax liability in connection with the grant or vesting of the RSUs. You understand that you (and not the Company) shall be solely responsible for your own tax liability that may arise as a result of the transactions contemplated by this Agreement. The grant, vesting and settlement of the RSUs shall be subject to all applicable income and employment tax withholdings. The Company may refuse to issue the Shares in settlement of the RSUs to you until you satisfy all applicable tax withholding obligations. You acknowledge that the Company has the right, in its discretion, to deduct and retain without notice from shares issuable upon vesting of the RSUs (or any portion thereof) or, unless otherwise determined by the Administrator, from salary or other amounts payable to you, shares or cash having a value sufficient to satisfy the tax withholding obligations.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584" w:right="299" w:bottom="1440" w:gutter="0" w:footer="0" w:header="0"/>
        </w:sectPr>
      </w:pPr>
    </w:p>
    <w:bookmarkStart w:id="95" w:name="page96"/>
    <w:bookmarkEnd w:id="95"/>
    <w:p>
      <w:pPr>
        <w:ind w:left="1300" w:hanging="644"/>
        <w:spacing w:after="0" w:line="287" w:lineRule="auto"/>
        <w:tabs>
          <w:tab w:leader="none" w:pos="13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To the extent required by applicable federal, state, local or foreign law, you shall make arrangements satisfactory to the Company in its sole discretion for the satisfaction of any withholding tax obligations that arise by reason of vesting or settlement of the RSUs or disposition of shares issued as a result of such settlement. By accepting the RSU Grant, you agree that, unless and to the extent you have otherwise satisfied your tax withholding obligations in a manner permitted or required by the Administrator pursuant to the Plan, the Company is authorized (but not required) to deduct and retain without notice from the Shares in respect of settlement of the RSUs the whole number of shares (rounding down) having a Fair Market Value on the vesting date or, if not a trading day, the first trading day before the vesting date (as determined by the Company consistent with any applicable tax requirements) sufficient to satisfy the applicable Tax Withholding Obligation. If the withheld shares are not sufficient to satisfy your Tax Withholding Obligation, you agree to pay to the Company as soon as practicable, by cash or check or, unless otherwise determined by the Administrator, deducted from salary or other amounts payable to you, any amount of the Tax Withholding Obligation that is not satisfied by the withholding of shares of Common Stock described above. Furthermore, the Company shall have the right to deduct and withhold any such applicable taxes from, or in respect of, any dividends or other distributions paid on or in respect of the Common Stock comprising the Shares following settlement of the RSUs.</w:t>
      </w:r>
    </w:p>
    <w:p>
      <w:pPr>
        <w:spacing w:after="0" w:line="168" w:lineRule="exact"/>
        <w:rPr>
          <w:rFonts w:ascii="Arial" w:cs="Arial" w:eastAsia="Arial" w:hAnsi="Arial"/>
          <w:sz w:val="16"/>
          <w:szCs w:val="16"/>
          <w:color w:val="auto"/>
        </w:rPr>
      </w:pPr>
    </w:p>
    <w:p>
      <w:pPr>
        <w:ind w:left="1300" w:right="60" w:hanging="644"/>
        <w:spacing w:after="0" w:line="297" w:lineRule="auto"/>
        <w:tabs>
          <w:tab w:leader="none" w:pos="13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You are ultimately liable and responsible for all taxes owed by you in connection with the RSUs, regardless of any action the Company takes or any transaction pursuant to this Section 14 with respect to any tax withholding obligations that arise in connection with the RSUs. The Company makes no representation or undertaking regarding the treatment of any tax withholding in connection with the grant, issuance, vesting or settlement of the RSUs or the subsequent sale of any of the shares of Common Stock issued in settlement of the RSUs. The Company does not commit and is under no obligation to structure the RSUs to reduce or eliminate your tax liability.</w:t>
      </w:r>
    </w:p>
    <w:p>
      <w:pPr>
        <w:spacing w:after="0" w:line="158" w:lineRule="exact"/>
        <w:rPr>
          <w:sz w:val="20"/>
          <w:szCs w:val="20"/>
          <w:color w:val="auto"/>
        </w:rPr>
      </w:pPr>
    </w:p>
    <w:p>
      <w:pPr>
        <w:ind w:firstLine="656"/>
        <w:spacing w:after="0" w:line="297" w:lineRule="auto"/>
        <w:tabs>
          <w:tab w:leader="none" w:pos="918"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Extraordinary Corporate Transactions</w:t>
      </w:r>
      <w:r>
        <w:rPr>
          <w:rFonts w:ascii="Arial" w:cs="Arial" w:eastAsia="Arial" w:hAnsi="Arial"/>
          <w:sz w:val="16"/>
          <w:szCs w:val="16"/>
          <w:color w:val="auto"/>
        </w:rPr>
        <w:t>. You understand and agree that the existence of this RSUs will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issuance of bonds, debentures, preferred or other stocks with preference ahead of or convertible into, or otherwise affecting the Common Stock or the rights thereof, or the dissolution or liquidation of the Company, or any sale or transfer of all or any part of its assets or business, or any other corporate act or proceeding, whether of a similar character or otherwise.</w:t>
      </w:r>
    </w:p>
    <w:p>
      <w:pPr>
        <w:spacing w:after="0" w:line="158" w:lineRule="exact"/>
        <w:rPr>
          <w:rFonts w:ascii="Arial" w:cs="Arial" w:eastAsia="Arial" w:hAnsi="Arial"/>
          <w:sz w:val="16"/>
          <w:szCs w:val="16"/>
          <w:color w:val="auto"/>
        </w:rPr>
      </w:pPr>
    </w:p>
    <w:p>
      <w:pPr>
        <w:ind w:left="920" w:hanging="264"/>
        <w:spacing w:after="0"/>
        <w:tabs>
          <w:tab w:leader="none" w:pos="920"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Resolution of Disputes</w:t>
      </w:r>
      <w:r>
        <w:rPr>
          <w:rFonts w:ascii="Arial" w:cs="Arial" w:eastAsia="Arial" w:hAnsi="Arial"/>
          <w:sz w:val="16"/>
          <w:szCs w:val="16"/>
          <w:color w:val="auto"/>
        </w:rPr>
        <w:t>. As a condition of this grant of RSUs, you, on behalf of yourself, your heirs, successors and personal representatives</w:t>
      </w:r>
    </w:p>
    <w:p>
      <w:pPr>
        <w:spacing w:after="0" w:line="46" w:lineRule="exact"/>
        <w:rPr>
          <w:sz w:val="20"/>
          <w:szCs w:val="20"/>
          <w:color w:val="auto"/>
        </w:rPr>
      </w:pPr>
    </w:p>
    <w:p>
      <w:pPr>
        <w:ind w:right="30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you and your successors</w:t>
      </w:r>
      <w:r>
        <w:rPr>
          <w:rFonts w:ascii="Arial" w:cs="Arial" w:eastAsia="Arial" w:hAnsi="Arial"/>
          <w:sz w:val="17"/>
          <w:szCs w:val="17"/>
          <w:color w:val="auto"/>
        </w:rPr>
        <w:t>”), agree that any dispute or disagreement which may arise hereunder shall be decided by the Administrator. You and your successors agree to accept as binding, conclusive and final all decisions or interpretations of the Administrator concerning any questions arising under the Plan with respect to the RSUs, and you and your successors hereby explicitly waive any right to judicial review.</w:t>
      </w:r>
    </w:p>
    <w:p>
      <w:pPr>
        <w:spacing w:after="0" w:line="173" w:lineRule="exact"/>
        <w:rPr>
          <w:sz w:val="20"/>
          <w:szCs w:val="20"/>
          <w:color w:val="auto"/>
        </w:rPr>
      </w:pPr>
    </w:p>
    <w:p>
      <w:pPr>
        <w:jc w:val="both"/>
        <w:ind w:right="460" w:firstLine="656"/>
        <w:spacing w:after="0" w:line="342" w:lineRule="auto"/>
        <w:tabs>
          <w:tab w:leader="none" w:pos="918"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Payment of Purchase Price</w:t>
      </w:r>
      <w:r>
        <w:rPr>
          <w:rFonts w:ascii="Arial" w:cs="Arial" w:eastAsia="Arial" w:hAnsi="Arial"/>
          <w:sz w:val="16"/>
          <w:szCs w:val="16"/>
          <w:color w:val="auto"/>
        </w:rPr>
        <w:t>. If required by law, as a condition of this grant of RSUs, you hereby authorize the Company to set-off from any salary, wages, bonus or other monies owed to you by the Company or any of its affiliates, any purchase price required to be collected by the Company.</w:t>
      </w:r>
    </w:p>
    <w:p>
      <w:pPr>
        <w:spacing w:after="0" w:line="123" w:lineRule="exact"/>
        <w:rPr>
          <w:rFonts w:ascii="Arial" w:cs="Arial" w:eastAsia="Arial" w:hAnsi="Arial"/>
          <w:sz w:val="16"/>
          <w:szCs w:val="16"/>
          <w:color w:val="auto"/>
        </w:rPr>
      </w:pPr>
    </w:p>
    <w:p>
      <w:pPr>
        <w:ind w:left="920" w:hanging="264"/>
        <w:spacing w:after="0"/>
        <w:tabs>
          <w:tab w:leader="none" w:pos="92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sz w:val="20"/>
          <w:szCs w:val="20"/>
          <w:color w:val="auto"/>
        </w:rPr>
      </w:pPr>
    </w:p>
    <w:p>
      <w:pPr>
        <w:ind w:left="1300" w:hanging="644"/>
        <w:spacing w:after="0" w:line="277"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Agreement and the Plan constitute the entire understanding between you and the Company regarding the RSUs. Any prior agreements, commitments or negotiations concerning the RSUs are superseded.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laws of the State of Delaware will govern all matters relating to this Agreement, without regard to the principles of conflict of laws.</w:t>
      </w:r>
    </w:p>
    <w:p>
      <w:pPr>
        <w:spacing w:after="0" w:line="236" w:lineRule="exact"/>
        <w:rPr>
          <w:rFonts w:ascii="Arial" w:cs="Arial" w:eastAsia="Arial" w:hAnsi="Arial"/>
          <w:sz w:val="17"/>
          <w:szCs w:val="17"/>
          <w:color w:val="auto"/>
        </w:rPr>
      </w:pPr>
    </w:p>
    <w:p>
      <w:pPr>
        <w:ind w:left="1300" w:right="40" w:hanging="644"/>
        <w:spacing w:after="0" w:line="255"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notice you give to the Company must be in writing and either hand-delivered or mailed to the Corporate Secretary of the Company (or to the Chief Financial Officer if either you would receive the notice or the position is vacant). If mailed, it should be sent by certified mail and be addressed to the foregoing executive at the Company’s then corporate headquarters. Any notice given to you will be addressed to you at your address as reflected on the personnel records of the Company. You may change the address for notice by like notice to the Company. Notice will be deemed to have been duly delivered when hand-delivered, or, if mailed, two business days after such notice is postmarked.</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368" w:right="279" w:bottom="1440" w:gutter="0" w:footer="0" w:header="0"/>
        </w:sectPr>
      </w:pPr>
    </w:p>
    <w:bookmarkStart w:id="96" w:name="page97"/>
    <w:bookmarkEnd w:id="96"/>
    <w:p>
      <w:pPr>
        <w:ind w:left="644" w:right="380" w:hanging="644"/>
        <w:spacing w:after="0" w:line="259" w:lineRule="auto"/>
        <w:tabs>
          <w:tab w:leader="none" w:pos="644"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the event that any provision of this Agreement is declared to be illegal, invalid or otherwise unenforceable by a court of competent jurisdiction, such provision shall be reformed, if possible, to the extent necessary to render it legal, valid and enforceable, or otherwise deleted, and the remainder of the terms hereunder shall not be affected except to the extent necessary to reform or delete such illegal, invalid or unenforceable provision.</w:t>
      </w:r>
    </w:p>
    <w:p>
      <w:pPr>
        <w:spacing w:after="0" w:line="186" w:lineRule="exact"/>
        <w:rPr>
          <w:rFonts w:ascii="Arial" w:cs="Arial" w:eastAsia="Arial" w:hAnsi="Arial"/>
          <w:sz w:val="18"/>
          <w:szCs w:val="18"/>
          <w:color w:val="auto"/>
        </w:rPr>
      </w:pPr>
    </w:p>
    <w:p>
      <w:pPr>
        <w:ind w:left="644" w:right="460" w:hanging="644"/>
        <w:spacing w:after="0" w:line="277" w:lineRule="auto"/>
        <w:tabs>
          <w:tab w:leader="none" w:pos="64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binding upon the parties hereto and their respective permitted heirs, beneficiaries, successors and assigns.</w:t>
      </w:r>
    </w:p>
    <w:p>
      <w:pPr>
        <w:spacing w:after="0" w:line="170"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headings preceding the text of the sections hereof are inserted solely for convenience of reference, and shall not constitute a part of this Agreement, nor shall they affect its meaning, construction or effect.</w:t>
      </w:r>
    </w:p>
    <w:p>
      <w:pPr>
        <w:spacing w:after="0" w:line="170" w:lineRule="exact"/>
        <w:rPr>
          <w:rFonts w:ascii="Arial" w:cs="Arial" w:eastAsia="Arial" w:hAnsi="Arial"/>
          <w:sz w:val="18"/>
          <w:szCs w:val="18"/>
          <w:color w:val="auto"/>
        </w:rPr>
      </w:pPr>
    </w:p>
    <w:p>
      <w:pPr>
        <w:ind w:left="644" w:hanging="644"/>
        <w:spacing w:after="0"/>
        <w:tabs>
          <w:tab w:leader="none" w:pos="644" w:val="left"/>
        </w:tabs>
        <w:numPr>
          <w:ilvl w:val="0"/>
          <w:numId w:val="67"/>
        </w:numPr>
        <w:rPr>
          <w:rFonts w:ascii="Arial" w:cs="Arial" w:eastAsia="Arial" w:hAnsi="Arial"/>
          <w:sz w:val="17"/>
          <w:szCs w:val="17"/>
          <w:color w:val="auto"/>
        </w:rPr>
      </w:pPr>
      <w:r>
        <w:rPr>
          <w:rFonts w:ascii="Arial" w:cs="Arial" w:eastAsia="Arial" w:hAnsi="Arial"/>
          <w:sz w:val="17"/>
          <w:szCs w:val="17"/>
          <w:color w:val="auto"/>
        </w:rPr>
        <w:t>All questions arising under the Plan or under this Agreement shall be decided by the Administrator in its total and absolute discretion.</w:t>
      </w:r>
    </w:p>
    <w:p>
      <w:pPr>
        <w:spacing w:after="0" w:line="395" w:lineRule="exact"/>
        <w:rPr>
          <w:sz w:val="20"/>
          <w:szCs w:val="20"/>
          <w:color w:val="auto"/>
        </w:rPr>
      </w:pPr>
    </w:p>
    <w:p>
      <w:pPr>
        <w:ind w:left="5164"/>
        <w:spacing w:after="0"/>
        <w:rPr>
          <w:sz w:val="20"/>
          <w:szCs w:val="20"/>
          <w:color w:val="auto"/>
        </w:rPr>
      </w:pPr>
      <w:r>
        <w:rPr>
          <w:rFonts w:ascii="Arial" w:cs="Arial" w:eastAsia="Arial" w:hAnsi="Arial"/>
          <w:sz w:val="18"/>
          <w:szCs w:val="18"/>
          <w:b w:val="1"/>
          <w:bCs w:val="1"/>
          <w:color w:val="auto"/>
        </w:rPr>
        <w:t>COSTAR GROUP, INC.</w:t>
      </w:r>
    </w:p>
    <w:p>
      <w:pPr>
        <w:spacing w:after="0" w:line="337" w:lineRule="exact"/>
        <w:rPr>
          <w:sz w:val="20"/>
          <w:szCs w:val="20"/>
          <w:color w:val="auto"/>
        </w:rPr>
      </w:pPr>
    </w:p>
    <w:p>
      <w:pPr>
        <w:jc w:val="center"/>
        <w:ind w:right="116"/>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31750</wp:posOffset>
            </wp:positionV>
            <wp:extent cx="20066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57" w:lineRule="exact"/>
        <w:rPr>
          <w:sz w:val="20"/>
          <w:szCs w:val="20"/>
          <w:color w:val="auto"/>
        </w:rPr>
      </w:pPr>
    </w:p>
    <w:p>
      <w:pPr>
        <w:ind w:left="5604"/>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3953510</wp:posOffset>
            </wp:positionH>
            <wp:positionV relativeFrom="paragraph">
              <wp:posOffset>31750</wp:posOffset>
            </wp:positionV>
            <wp:extent cx="15951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57" w:lineRule="exact"/>
        <w:rPr>
          <w:sz w:val="20"/>
          <w:szCs w:val="20"/>
          <w:color w:val="auto"/>
        </w:rPr>
      </w:pPr>
    </w:p>
    <w:p>
      <w:pPr>
        <w:ind w:left="5604"/>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3953510</wp:posOffset>
            </wp:positionH>
            <wp:positionV relativeFrom="paragraph">
              <wp:posOffset>31750</wp:posOffset>
            </wp:positionV>
            <wp:extent cx="15951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04"/>
          </w:cols>
          <w:pgMar w:left="896" w:top="368" w:right="29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u w:val="single" w:color="auto"/>
          <w:color w:val="auto"/>
        </w:rPr>
        <w:t>ACKNOWLEDGMENT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Please confirm your acceptance of the terms and conditions of this grant of RSUs and the terms and conditions of the Plan within 60 days of issuance of this Agreement. By confirming acceptance, you (a) acknowledge receipt of a copy of the Plan; (b) represent that you have read and are familiar with the Plan’s terms; (c) accept the grant of RSUs subject to all of the terms and provisions of this Agreement and of the Plan under which it is granted, as the Plan may be amended in accordance with its terms; and (d) agree to accept as binding, conclusive, and final all decisions or interpretations of the Administrator concerning any questions arising under the Plan with respect to the RSUs.</w:t>
      </w:r>
    </w:p>
    <w:p>
      <w:pPr>
        <w:spacing w:after="0" w:line="200" w:lineRule="exact"/>
        <w:rPr>
          <w:sz w:val="20"/>
          <w:szCs w:val="20"/>
          <w:color w:val="auto"/>
        </w:rPr>
      </w:pPr>
    </w:p>
    <w:p>
      <w:pPr>
        <w:spacing w:after="0" w:line="205" w:lineRule="exact"/>
        <w:rPr>
          <w:sz w:val="20"/>
          <w:szCs w:val="20"/>
          <w:color w:val="auto"/>
        </w:rPr>
      </w:pPr>
    </w:p>
    <w:p>
      <w:pPr>
        <w:ind w:right="320" w:firstLine="648"/>
        <w:spacing w:after="0" w:line="315" w:lineRule="auto"/>
        <w:rPr>
          <w:sz w:val="20"/>
          <w:szCs w:val="20"/>
          <w:color w:val="auto"/>
        </w:rPr>
      </w:pPr>
      <w:r>
        <w:rPr>
          <w:rFonts w:ascii="Arial" w:cs="Arial" w:eastAsia="Arial" w:hAnsi="Arial"/>
          <w:sz w:val="19"/>
          <w:szCs w:val="19"/>
          <w:b w:val="1"/>
          <w:bCs w:val="1"/>
          <w:color w:val="auto"/>
        </w:rPr>
        <w:t>No one may sell, transfer, or distribute the RSUs or the securities that may be issued in settlement of the RSUs without an effective registration statement relating thereto or an opinion of counsel satisfactory to the Company or other information and representations satisfactory to the Company that such registration is not required.</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75"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SEPARATION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GENERAL RELEASE</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Jennifer Kitchen</w:t>
      </w:r>
      <w:r>
        <w:rPr>
          <w:rFonts w:ascii="Arial" w:cs="Arial" w:eastAsia="Arial" w:hAnsi="Arial"/>
          <w:sz w:val="18"/>
          <w:szCs w:val="18"/>
          <w:color w:val="auto"/>
        </w:rPr>
        <w:t>, her heirs and executors (“Employee”) and CoStar Realty Information, Inc. (together with its predecessors, collectively “CoStar” or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for the good and sufficient mutual consideration set forth below, agree to terminate their employment relationship on the following basis, and agree as follows:</w:t>
      </w:r>
    </w:p>
    <w:p>
      <w:pPr>
        <w:spacing w:after="0" w:line="176" w:lineRule="exact"/>
        <w:rPr>
          <w:sz w:val="20"/>
          <w:szCs w:val="20"/>
          <w:color w:val="auto"/>
        </w:rPr>
      </w:pPr>
    </w:p>
    <w:p>
      <w:pPr>
        <w:jc w:val="both"/>
        <w:ind w:firstLine="8"/>
        <w:spacing w:after="0" w:line="303" w:lineRule="auto"/>
        <w:tabs>
          <w:tab w:leader="none" w:pos="315" w:val="left"/>
        </w:tabs>
        <w:numPr>
          <w:ilvl w:val="0"/>
          <w:numId w:val="68"/>
        </w:numPr>
        <w:rPr>
          <w:rFonts w:ascii="Arial" w:cs="Arial" w:eastAsia="Arial" w:hAnsi="Arial"/>
          <w:sz w:val="16"/>
          <w:szCs w:val="16"/>
          <w:color w:val="auto"/>
        </w:rPr>
      </w:pPr>
      <w:r>
        <w:rPr>
          <w:rFonts w:ascii="Arial" w:cs="Arial" w:eastAsia="Arial" w:hAnsi="Arial"/>
          <w:sz w:val="16"/>
          <w:szCs w:val="16"/>
          <w:b w:val="1"/>
          <w:bCs w:val="1"/>
          <w:u w:val="single" w:color="auto"/>
          <w:color w:val="auto"/>
        </w:rPr>
        <w:t>Transition Period/Last Day of Employment</w:t>
      </w:r>
      <w:r>
        <w:rPr>
          <w:rFonts w:ascii="Arial" w:cs="Arial" w:eastAsia="Arial" w:hAnsi="Arial"/>
          <w:sz w:val="16"/>
          <w:szCs w:val="16"/>
          <w:color w:val="auto"/>
        </w:rPr>
        <w:t>. Employee and CoStar agree that Employee shall transition her employment with CoStar effective October</w:t>
      </w:r>
      <w:r>
        <w:rPr>
          <w:rFonts w:ascii="Arial" w:cs="Arial" w:eastAsia="Arial" w:hAnsi="Arial"/>
          <w:sz w:val="16"/>
          <w:szCs w:val="16"/>
          <w:b w:val="1"/>
          <w:bCs w:val="1"/>
          <w:color w:val="auto"/>
        </w:rPr>
        <w:t xml:space="preserve"> </w:t>
      </w:r>
      <w:r>
        <w:rPr>
          <w:rFonts w:ascii="Arial" w:cs="Arial" w:eastAsia="Arial" w:hAnsi="Arial"/>
          <w:sz w:val="16"/>
          <w:szCs w:val="16"/>
          <w:color w:val="auto"/>
        </w:rPr>
        <w:t>7, 2013 (the “Transition Date”). Employee and CoStar agree that Employee’s last day of employment with CoStar (the “Termination Date”) shall be the earlier of either (i) the date that Employee begins employment with another employer, including self-employment, or (ii) the date of August 31, 2014. Employee and CoStar agree that beginning on the Transition Date and continuing until the Termination Date (the “Transition Period”), Employee shall:</w:t>
      </w:r>
    </w:p>
    <w:p>
      <w:pPr>
        <w:spacing w:after="0" w:line="182" w:lineRule="exact"/>
        <w:rPr>
          <w:rFonts w:ascii="Arial" w:cs="Arial" w:eastAsia="Arial" w:hAnsi="Arial"/>
          <w:sz w:val="16"/>
          <w:szCs w:val="16"/>
          <w:color w:val="auto"/>
        </w:rPr>
      </w:pPr>
    </w:p>
    <w:p>
      <w:pPr>
        <w:jc w:val="both"/>
        <w:ind w:firstLine="656"/>
        <w:spacing w:after="0" w:line="322" w:lineRule="auto"/>
        <w:tabs>
          <w:tab w:leader="none" w:pos="1496" w:val="left"/>
        </w:tabs>
        <w:numPr>
          <w:ilvl w:val="1"/>
          <w:numId w:val="68"/>
        </w:numPr>
        <w:rPr>
          <w:rFonts w:ascii="Arial" w:cs="Arial" w:eastAsia="Arial" w:hAnsi="Arial"/>
          <w:sz w:val="17"/>
          <w:szCs w:val="17"/>
          <w:color w:val="auto"/>
        </w:rPr>
      </w:pPr>
      <w:r>
        <w:rPr>
          <w:rFonts w:ascii="Arial" w:cs="Arial" w:eastAsia="Arial" w:hAnsi="Arial"/>
          <w:sz w:val="17"/>
          <w:szCs w:val="17"/>
          <w:color w:val="auto"/>
        </w:rPr>
        <w:t xml:space="preserve">remain an employee of CoStar and be bound by the Terms and Conditions of Employment Agreement signed by Employee on March 6, 2001, (attached as Exhibit A, adopted and incorporated by reference herein) and the employer’s policies and procedures applicable to all employees;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instead of being employed as Sr. Vice President of Research, Employee shall be employed as Director of Research Integration. During the Transition Period, Employee shall perform those functions and undertake those responsibilities that are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as well as other responsibilities as are assigned from time to time by the Chief Executive Officer of CoStar or his delegate. Employee agrees to return all of CoStar’s property, including without limitation keys, phones, computers, records, and files (electronic or other) on or before the Termination Date and will cooperate fully with CoStar’s managers and employees in a professional manner to assure a smooth transition.</w:t>
      </w:r>
    </w:p>
    <w:p>
      <w:pPr>
        <w:spacing w:after="0" w:line="176" w:lineRule="exact"/>
        <w:rPr>
          <w:rFonts w:ascii="Arial" w:cs="Arial" w:eastAsia="Arial" w:hAnsi="Arial"/>
          <w:sz w:val="17"/>
          <w:szCs w:val="17"/>
          <w:color w:val="auto"/>
        </w:rPr>
      </w:pPr>
    </w:p>
    <w:p>
      <w:pPr>
        <w:jc w:val="both"/>
        <w:ind w:firstLine="656"/>
        <w:spacing w:after="0" w:line="321" w:lineRule="auto"/>
        <w:tabs>
          <w:tab w:leader="none" w:pos="1552" w:val="left"/>
        </w:tabs>
        <w:numPr>
          <w:ilvl w:val="1"/>
          <w:numId w:val="68"/>
        </w:numPr>
        <w:rPr>
          <w:rFonts w:ascii="Arial" w:cs="Arial" w:eastAsia="Arial" w:hAnsi="Arial"/>
          <w:sz w:val="17"/>
          <w:szCs w:val="17"/>
          <w:color w:val="auto"/>
        </w:rPr>
      </w:pPr>
      <w:r>
        <w:rPr>
          <w:rFonts w:ascii="Arial" w:cs="Arial" w:eastAsia="Arial" w:hAnsi="Arial"/>
          <w:sz w:val="17"/>
          <w:szCs w:val="17"/>
          <w:color w:val="auto"/>
        </w:rPr>
        <w:t>be fully eligible to participate in all CoStar employee health and benefit plans and programs then in effect through her Termination Date, including, but not limited to, CoStar’s Incentive Stock plans and Restricted Employee Stock grants, in accordance with the terms of such plans and programs. The parties specifically agree that from the Transition Date through the Termination Date, Employee shall continue to vest in her restricted stock grants and option grants, including the performance-based restricted stock grant dated February 21, 2011, in each case pursuant to the requirements of the applicable Option or Restricted Stock Agreements, including without limitation any vesting requirement. Employee shall not receive any additional options or stock grants under the above-described Incentive Stock plans and Restricted Employee Stock grants, nor shall any of Employee’s existing restricted stock grants and option grants continue to vest after the Termination Date. Employee’s participation in CoStar’s employee benefit plans and programs is subject to any and all required withholdings and employee contributions.</w:t>
      </w:r>
    </w:p>
    <w:p>
      <w:pPr>
        <w:spacing w:after="0" w:line="146" w:lineRule="exact"/>
        <w:rPr>
          <w:rFonts w:ascii="Arial" w:cs="Arial" w:eastAsia="Arial" w:hAnsi="Arial"/>
          <w:sz w:val="17"/>
          <w:szCs w:val="17"/>
          <w:color w:val="auto"/>
        </w:rPr>
      </w:pPr>
    </w:p>
    <w:p>
      <w:pPr>
        <w:jc w:val="both"/>
        <w:ind w:firstLine="8"/>
        <w:spacing w:after="0" w:line="261" w:lineRule="auto"/>
        <w:tabs>
          <w:tab w:leader="none" w:pos="315" w:val="left"/>
        </w:tabs>
        <w:numPr>
          <w:ilvl w:val="0"/>
          <w:numId w:val="68"/>
        </w:numPr>
        <w:rPr>
          <w:rFonts w:ascii="Arial" w:cs="Arial" w:eastAsia="Arial" w:hAnsi="Arial"/>
          <w:sz w:val="18"/>
          <w:szCs w:val="18"/>
          <w:color w:val="auto"/>
        </w:rPr>
      </w:pPr>
      <w:r>
        <w:rPr>
          <w:rFonts w:ascii="Arial" w:cs="Arial" w:eastAsia="Arial" w:hAnsi="Arial"/>
          <w:sz w:val="18"/>
          <w:szCs w:val="18"/>
          <w:b w:val="1"/>
          <w:bCs w:val="1"/>
          <w:u w:val="single" w:color="auto"/>
          <w:color w:val="auto"/>
        </w:rPr>
        <w:t>Salary During Transition Period.</w:t>
      </w:r>
      <w:r>
        <w:rPr>
          <w:rFonts w:ascii="Arial" w:cs="Arial" w:eastAsia="Arial" w:hAnsi="Arial"/>
          <w:sz w:val="18"/>
          <w:szCs w:val="18"/>
          <w:b w:val="1"/>
          <w:bCs w:val="1"/>
          <w:color w:val="auto"/>
        </w:rPr>
        <w:t xml:space="preserve"> </w:t>
      </w:r>
      <w:r>
        <w:rPr>
          <w:rFonts w:ascii="Arial" w:cs="Arial" w:eastAsia="Arial" w:hAnsi="Arial"/>
          <w:sz w:val="18"/>
          <w:szCs w:val="18"/>
          <w:color w:val="auto"/>
        </w:rPr>
        <w:t>CoStar agrees that during the Transition Period it will continue to pay Employee’s current base salary of $225,500 bi-weekly, in accordance with the normal payroll practices of Employer then in effect and less lawful withholdings. During the Transition Period, Employee shall not be eligible for nor receive any bonus payments or additional payments of any kind (i.e., Employee shall not be eligible for or receive any cash or other bonus for fiscal year 2013 or 2014 performance).</w:t>
      </w:r>
    </w:p>
    <w:p>
      <w:pPr>
        <w:spacing w:after="0" w:line="180" w:lineRule="exact"/>
        <w:rPr>
          <w:rFonts w:ascii="Arial" w:cs="Arial" w:eastAsia="Arial" w:hAnsi="Arial"/>
          <w:sz w:val="18"/>
          <w:szCs w:val="18"/>
          <w:color w:val="auto"/>
        </w:rPr>
      </w:pPr>
    </w:p>
    <w:p>
      <w:pPr>
        <w:jc w:val="both"/>
        <w:ind w:firstLine="8"/>
        <w:spacing w:after="0" w:line="271" w:lineRule="auto"/>
        <w:tabs>
          <w:tab w:leader="none" w:pos="342" w:val="left"/>
        </w:tabs>
        <w:numPr>
          <w:ilvl w:val="0"/>
          <w:numId w:val="68"/>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Severance Benefit.</w:t>
      </w:r>
      <w:r>
        <w:rPr>
          <w:rFonts w:ascii="Arial" w:cs="Arial" w:eastAsia="Arial" w:hAnsi="Arial"/>
          <w:sz w:val="17"/>
          <w:szCs w:val="17"/>
          <w:b w:val="1"/>
          <w:bCs w:val="1"/>
          <w:color w:val="auto"/>
        </w:rPr>
        <w:t xml:space="preserve"> </w:t>
      </w:r>
      <w:r>
        <w:rPr>
          <w:rFonts w:ascii="Arial" w:cs="Arial" w:eastAsia="Arial" w:hAnsi="Arial"/>
          <w:sz w:val="17"/>
          <w:szCs w:val="17"/>
          <w:color w:val="auto"/>
        </w:rPr>
        <w:t>CoStar agrees that, in further consideration for Employee’s agreement and commitments herein, beginning on the Termination Date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continuing for up to four (4) months, CoStar shall make all payments directly to the third party administrator on Employee’s behalf for family health care coverage under the Consolidated Omnibus Budget Reconciliation Act of 1985 (COBRA) (hereinafter referred to as COBRA benefits), if Employee elects to continue such coverage under CoStar’s group health plan pursuant to paragraph 18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CoStar’s obligations to pay Employee’s COBRA benefits as set forth herein shall be conditioned upon Employee’s execution of a release of claims substantially similar to the general release set forth at Section 6 of this Agreement, which release shall be effective as of the Termination Date. If Employee becomes eligible for comparable health care coverage before the expiration of the four (4) month period, Employee shall immediately notify CoStar, through Jon Coleman, and CoStar’s obligations to pay Employee’s COBRA benefits shall immediately cease. Under no circumstances shall Employer be responsible for payment of Employee’s COBRA benefits beyond four (4) months from the Termination Date.</w:t>
      </w:r>
    </w:p>
    <w:p>
      <w:pPr>
        <w:sectPr>
          <w:pgSz w:w="11900" w:h="16838" w:orient="portrait"/>
          <w:cols w:equalWidth="0" w:num="1">
            <w:col w:w="11420"/>
          </w:cols>
          <w:pgMar w:left="240" w:top="121" w:right="239" w:bottom="1440" w:gutter="0" w:footer="0" w:header="0"/>
        </w:sectPr>
      </w:pPr>
    </w:p>
    <w:bookmarkStart w:id="99" w:name="page100"/>
    <w:bookmarkEnd w:id="99"/>
    <w:p>
      <w:pPr>
        <w:jc w:val="both"/>
        <w:ind w:firstLine="8"/>
        <w:spacing w:after="0" w:line="266" w:lineRule="auto"/>
        <w:tabs>
          <w:tab w:leader="none" w:pos="423" w:val="left"/>
        </w:tabs>
        <w:numPr>
          <w:ilvl w:val="0"/>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No Consideration Absent Execution of this Agreement</w:t>
      </w:r>
      <w:r>
        <w:rPr>
          <w:rFonts w:ascii="Arial" w:cs="Arial" w:eastAsia="Arial" w:hAnsi="Arial"/>
          <w:sz w:val="18"/>
          <w:szCs w:val="18"/>
          <w:color w:val="auto"/>
        </w:rPr>
        <w:t>. Employee understands and agrees that Employee would not receive any monies and/or</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specified in Sections 1 through 3 except for Employee’s execution of this Agreement and Release and the fulfillment of the promises contained herein.</w:t>
      </w:r>
    </w:p>
    <w:p>
      <w:pPr>
        <w:spacing w:after="0" w:line="176" w:lineRule="exact"/>
        <w:rPr>
          <w:rFonts w:ascii="Arial" w:cs="Arial" w:eastAsia="Arial" w:hAnsi="Arial"/>
          <w:sz w:val="18"/>
          <w:szCs w:val="18"/>
          <w:color w:val="auto"/>
        </w:rPr>
      </w:pPr>
    </w:p>
    <w:p>
      <w:pPr>
        <w:jc w:val="both"/>
        <w:ind w:firstLine="8"/>
        <w:spacing w:after="0" w:line="269" w:lineRule="auto"/>
        <w:tabs>
          <w:tab w:leader="none" w:pos="409" w:val="left"/>
        </w:tabs>
        <w:numPr>
          <w:ilvl w:val="0"/>
          <w:numId w:val="69"/>
        </w:numPr>
        <w:rPr>
          <w:rFonts w:ascii="Arial" w:cs="Arial" w:eastAsia="Arial" w:hAnsi="Arial"/>
          <w:sz w:val="17"/>
          <w:szCs w:val="17"/>
          <w:color w:val="auto"/>
        </w:rPr>
      </w:pPr>
      <w:r>
        <w:rPr>
          <w:rFonts w:ascii="Arial" w:cs="Arial" w:eastAsia="Arial" w:hAnsi="Arial"/>
          <w:sz w:val="17"/>
          <w:szCs w:val="17"/>
          <w:b w:val="1"/>
          <w:bCs w:val="1"/>
          <w:u w:val="single" w:color="auto"/>
          <w:color w:val="auto"/>
        </w:rPr>
        <w:t>Confidentiality and Non-Solicitation</w:t>
      </w:r>
      <w:r>
        <w:rPr>
          <w:rFonts w:ascii="Arial" w:cs="Arial" w:eastAsia="Arial" w:hAnsi="Arial"/>
          <w:sz w:val="17"/>
          <w:szCs w:val="17"/>
          <w:color w:val="auto"/>
        </w:rPr>
        <w:t>. In addition to any terms and conditions regarding confidential information set forth in any other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Employer and Employee, Employee promises not to use or disclose any confidential information, valuable information or trade secrets (including, but not limited to, customer lists, property-related data or other information from Employer’s or its affiliates’ database, customer profiles or employee information) that Employee learned while employed by Employer or an Employer Affiliate (an “Employer Affiliate” being a parent, subsidiary, sister or other corporation with common ownership and/or control with Employer). In order to preserve such confidential information, valuable information and trade secrets, Employee further agrees that for a period of two years from the Termination Date, Employee will not solicit, participate in or assist in any way the solicitation of any employee of Employer or an Employer Affiliate to cease employment with or doing present or future business with Employer or an Employer Affiliate, to the maximum extent permitted by applicable law. The terms of this Agreement and Release are confidential, and Employee agrees not to disclose any term of this Agreement and Release, including without limitation, the fact or amount of these additional payments, to any party including, but not limited to, any past, present or prospective employee of Employer or any of Employer’s Affiliates, without the prior written consent of Employer, which may be withheld in Employer’s sole discretion; provided, however, that Employer hereby gives permission to Employee to disclose the details of this Agreement and Release to Employee’s counsel and immediate family members.</w:t>
      </w:r>
    </w:p>
    <w:p>
      <w:pPr>
        <w:spacing w:after="0" w:line="179" w:lineRule="exact"/>
        <w:rPr>
          <w:rFonts w:ascii="Arial" w:cs="Arial" w:eastAsia="Arial" w:hAnsi="Arial"/>
          <w:sz w:val="17"/>
          <w:szCs w:val="17"/>
          <w:color w:val="auto"/>
        </w:rPr>
      </w:pPr>
    </w:p>
    <w:p>
      <w:pPr>
        <w:jc w:val="both"/>
        <w:ind w:firstLine="8"/>
        <w:spacing w:after="0" w:line="270" w:lineRule="auto"/>
        <w:tabs>
          <w:tab w:leader="none" w:pos="369" w:val="left"/>
        </w:tabs>
        <w:numPr>
          <w:ilvl w:val="0"/>
          <w:numId w:val="69"/>
        </w:numPr>
        <w:rPr>
          <w:rFonts w:ascii="Arial" w:cs="Arial" w:eastAsia="Arial" w:hAnsi="Arial"/>
          <w:sz w:val="17"/>
          <w:szCs w:val="17"/>
          <w:color w:val="auto"/>
        </w:rPr>
      </w:pPr>
      <w:r>
        <w:rPr>
          <w:rFonts w:ascii="Arial" w:cs="Arial" w:eastAsia="Arial" w:hAnsi="Arial"/>
          <w:sz w:val="17"/>
          <w:szCs w:val="17"/>
          <w:b w:val="1"/>
          <w:bCs w:val="1"/>
          <w:u w:val="single" w:color="auto"/>
          <w:color w:val="auto"/>
        </w:rPr>
        <w:t>General Release</w:t>
      </w:r>
      <w:r>
        <w:rPr>
          <w:rFonts w:ascii="Arial" w:cs="Arial" w:eastAsia="Arial" w:hAnsi="Arial"/>
          <w:sz w:val="17"/>
          <w:szCs w:val="17"/>
          <w:color w:val="auto"/>
        </w:rPr>
        <w:t>. Except for any claims that Employee may have for workers’ compensation benefits, for pension benefits, or for health care, life or</w:t>
      </w:r>
      <w:r>
        <w:rPr>
          <w:rFonts w:ascii="Arial" w:cs="Arial" w:eastAsia="Arial" w:hAnsi="Arial"/>
          <w:sz w:val="17"/>
          <w:szCs w:val="17"/>
          <w:b w:val="1"/>
          <w:bCs w:val="1"/>
          <w:color w:val="auto"/>
        </w:rPr>
        <w:t xml:space="preserve"> </w:t>
      </w:r>
      <w:r>
        <w:rPr>
          <w:rFonts w:ascii="Arial" w:cs="Arial" w:eastAsia="Arial" w:hAnsi="Arial"/>
          <w:sz w:val="17"/>
          <w:szCs w:val="17"/>
          <w:color w:val="auto"/>
        </w:rPr>
        <w:t>disability insurance (which are not released under this Agreement and Release), in consideration of the monies/benefits set forth herein, Employee does hereby unconditionally, irrevocably and absolutely release and discharge Employer and the Employer Affiliates and their respective current and former owners, directors, officers, employees, agents, attorneys, affiliates, stockholders, insurers, divisions, predecessors, successors and/or assigns and any related holding, parent or subsidiary corporations, individually and in corporate capacities (collectively, the “Released Parties”), from any and all loss, liability, claims, expenses, demands, causes of action, suits, rights and entitlements of every kind and description of any type, whether in law and/or in equity, whether known or unknown, (collectively, the “Claims”), related directly or indirectly or in any way connected with any transaction, affairs or occurrences between the Employee and any Released Party to date, including, but not limited to, any claims under any agreements, and any claims with respect to Employee’s employment with Employer, the establishment of the Transition Period, the termination of Employee’s employment with Employer, or arising out of any acts committed or omitted during said employment relationship.</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100" w:name="page101"/>
    <w:bookmarkEnd w:id="100"/>
    <w:p>
      <w:pPr>
        <w:jc w:val="both"/>
        <w:spacing w:after="0" w:line="264" w:lineRule="auto"/>
        <w:rPr>
          <w:sz w:val="20"/>
          <w:szCs w:val="20"/>
          <w:color w:val="auto"/>
        </w:rPr>
      </w:pPr>
      <w:r>
        <w:rPr>
          <w:rFonts w:ascii="Arial" w:cs="Arial" w:eastAsia="Arial" w:hAnsi="Arial"/>
          <w:sz w:val="18"/>
          <w:szCs w:val="18"/>
          <w:color w:val="auto"/>
        </w:rPr>
        <w:t>This release includes, but is not limited to, any Claims for back pay reinstatement, personal injuries, breach of contract (express or implied), breach of any covenant of good faith and fair dealing (express or implied), and for any recovery of any losses or other damages to Employee or Employee’s property, and any claims based on any alleged violation of any of the following:</w:t>
      </w:r>
    </w:p>
    <w:p>
      <w:pPr>
        <w:spacing w:after="0" w:line="181" w:lineRule="exact"/>
        <w:rPr>
          <w:sz w:val="20"/>
          <w:szCs w:val="20"/>
          <w:color w:val="auto"/>
        </w:rPr>
      </w:pPr>
    </w:p>
    <w:p>
      <w:pPr>
        <w:ind w:left="660" w:hanging="328"/>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 xml:space="preserve">The National Labor Relations Act, as amended, 29 U.S.C., 151 </w:t>
      </w:r>
      <w:r>
        <w:rPr>
          <w:rFonts w:ascii="Arial" w:cs="Arial" w:eastAsia="Arial" w:hAnsi="Arial"/>
          <w:sz w:val="18"/>
          <w:szCs w:val="18"/>
          <w:u w:val="single" w:color="auto"/>
          <w:color w:val="auto"/>
        </w:rPr>
        <w:t>et seq</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 xml:space="preserve">Title VII of the Civil Act of 1964, as amended, 42 U.S.C. Section 2000e </w:t>
      </w:r>
      <w:r>
        <w:rPr>
          <w:rFonts w:ascii="Arial" w:cs="Arial" w:eastAsia="Arial" w:hAnsi="Arial"/>
          <w:sz w:val="18"/>
          <w:szCs w:val="18"/>
          <w:u w:val="single" w:color="auto"/>
          <w:color w:val="auto"/>
        </w:rPr>
        <w:t>et seq</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 xml:space="preserve">The Employee Retirement Income Security Act of 1974, as amended, 29 U.S.C. 621 </w:t>
      </w:r>
      <w:r>
        <w:rPr>
          <w:rFonts w:ascii="Arial" w:cs="Arial" w:eastAsia="Arial" w:hAnsi="Arial"/>
          <w:sz w:val="18"/>
          <w:szCs w:val="18"/>
          <w:u w:val="single" w:color="auto"/>
          <w:color w:val="auto"/>
        </w:rPr>
        <w:t>et seq</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Age Discrimination in Employment Act of 1967, as amended;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Americans With Disabilities Act of 1990, as amended, 42 U.S.C. 12101;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 xml:space="preserve">The Older Worker Benefit Protection Act, 29 U.S.C. 621 </w:t>
      </w:r>
      <w:r>
        <w:rPr>
          <w:rFonts w:ascii="Arial" w:cs="Arial" w:eastAsia="Arial" w:hAnsi="Arial"/>
          <w:sz w:val="18"/>
          <w:szCs w:val="18"/>
          <w:u w:val="single" w:color="auto"/>
          <w:color w:val="auto"/>
        </w:rPr>
        <w:t>et seq</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 xml:space="preserve">The Family and Medical Leave Act of 1993, 29 U.S.C. 2601 </w:t>
      </w:r>
      <w:r>
        <w:rPr>
          <w:rFonts w:ascii="Arial" w:cs="Arial" w:eastAsia="Arial" w:hAnsi="Arial"/>
          <w:sz w:val="18"/>
          <w:szCs w:val="18"/>
          <w:u w:val="single" w:color="auto"/>
          <w:color w:val="auto"/>
        </w:rPr>
        <w:t>et seq</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Sections 1981 through 1988 of Title 42 of the United States Code, as amended;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Occupational Safety and Health Act of 1970, 29 U.S.C. 651 et seq;</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Immigration Reform Control Act, as amended;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California Fair Employment and Housing Act, Cal. Gov’t Code 12900 et seq, if applicable;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Massachusetts Fair Employment Practices Act, if applicable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Minnesota Human Rights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New Jersey Law Against Discrimination;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New Jersey Conscientious Employee Protection Act;</w:t>
      </w:r>
    </w:p>
    <w:p>
      <w:pPr>
        <w:spacing w:after="0" w:line="9" w:lineRule="exact"/>
        <w:rPr>
          <w:rFonts w:ascii="Arial" w:cs="Arial" w:eastAsia="Arial" w:hAnsi="Arial"/>
          <w:sz w:val="18"/>
          <w:szCs w:val="18"/>
          <w:color w:val="auto"/>
        </w:rPr>
      </w:pPr>
    </w:p>
    <w:p>
      <w:pPr>
        <w:ind w:left="660" w:hanging="328"/>
        <w:spacing w:after="0" w:line="181" w:lineRule="auto"/>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West Virginia Human Rights Act</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ind w:left="660" w:hanging="328"/>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District of Columbia Human Rights Act - D.C. Code § 2-1401 et seq.;</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1"/>
          <w:numId w:val="70"/>
        </w:numPr>
        <w:rPr>
          <w:rFonts w:ascii="Arial" w:cs="Arial" w:eastAsia="Arial" w:hAnsi="Arial"/>
          <w:sz w:val="17"/>
          <w:szCs w:val="17"/>
          <w:color w:val="auto"/>
        </w:rPr>
      </w:pPr>
      <w:r>
        <w:rPr>
          <w:rFonts w:ascii="Arial" w:cs="Arial" w:eastAsia="Arial" w:hAnsi="Arial"/>
          <w:sz w:val="17"/>
          <w:szCs w:val="17"/>
          <w:color w:val="auto"/>
        </w:rPr>
        <w:t>District of Columbia Statutory Provision Regarding Retaliation/Discrimination for Filing a Workers Compensation Claim - D.C. Code § 32-1542;</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District of Columbia Family and Medical Leave Act - D.C. Code § 32-501 et seq.;</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District of Columbia Wage Payment and Collection Law - D.C. Code Ann. § 32-1301 et seq.;</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District of Columbia Minimum Wage Act - D.C. Code § 32-1001 et seq.;</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District of Columbia Smokers’ Rights Law - D.C. Code § 7-1703.03;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District of Columbia Parental Leave Act - D.C. Code § 32-1201 et seq.;</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District of Columbia Rights of the Blind and Physically Disabled ("White Cane Act") - D.C. Code § 7-1001 et seq.;</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D.C. Pregnancy Anti-Discrimination Act - D.C. Code § 2.401.05;</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20"/>
          <w:szCs w:val="20"/>
          <w:color w:val="auto"/>
        </w:rPr>
        <w:t>D.C. Accrued Sick and Safe Leave Act - D.C. Code § 32-131.01 et seq.; and</w:t>
      </w:r>
    </w:p>
    <w:p>
      <w:pPr>
        <w:ind w:left="660" w:hanging="328"/>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20"/>
          <w:szCs w:val="20"/>
          <w:color w:val="auto"/>
        </w:rPr>
        <w:t>Any other federal, state or local statutory or common law.</w:t>
      </w:r>
    </w:p>
    <w:p>
      <w:pPr>
        <w:spacing w:after="0" w:line="198" w:lineRule="exact"/>
        <w:rPr>
          <w:rFonts w:ascii="Arial" w:cs="Arial" w:eastAsia="Arial" w:hAnsi="Arial"/>
          <w:sz w:val="18"/>
          <w:szCs w:val="18"/>
          <w:color w:val="auto"/>
        </w:rPr>
      </w:pPr>
    </w:p>
    <w:p>
      <w:pPr>
        <w:jc w:val="both"/>
        <w:ind w:firstLine="8"/>
        <w:spacing w:after="0" w:line="292" w:lineRule="auto"/>
        <w:tabs>
          <w:tab w:leader="none" w:pos="355" w:val="left"/>
        </w:tabs>
        <w:numPr>
          <w:ilvl w:val="0"/>
          <w:numId w:val="70"/>
        </w:numPr>
        <w:rPr>
          <w:rFonts w:ascii="Arial" w:cs="Arial" w:eastAsia="Arial" w:hAnsi="Arial"/>
          <w:sz w:val="16"/>
          <w:szCs w:val="16"/>
          <w:color w:val="auto"/>
        </w:rPr>
      </w:pPr>
      <w:r>
        <w:rPr>
          <w:rFonts w:ascii="Arial" w:cs="Arial" w:eastAsia="Arial" w:hAnsi="Arial"/>
          <w:sz w:val="16"/>
          <w:szCs w:val="16"/>
          <w:b w:val="1"/>
          <w:bCs w:val="1"/>
          <w:u w:val="single" w:color="auto"/>
          <w:color w:val="auto"/>
        </w:rPr>
        <w:t>Prior Agreements in Full Force; No Promises</w:t>
      </w:r>
      <w:r>
        <w:rPr>
          <w:rFonts w:ascii="Arial" w:cs="Arial" w:eastAsia="Arial" w:hAnsi="Arial"/>
          <w:sz w:val="16"/>
          <w:szCs w:val="16"/>
          <w:color w:val="auto"/>
        </w:rPr>
        <w:t>. Employee agrees that notwithstanding anything to the contrary set forth herein the terms of any non-solicitation, confidentiality, ownership rights or similar agreements between Employee and any Released Party, including without limitation the Terms and Conditions of Employment Agreement signed by Employee on March 6, 2001 attached as Exhibit A, that by their terms survive termination of employment shall continue to be in full force and effect, to the maximum extent permitted by applicable law. Employee understands that Employer’s obligations under this Agreement and Release remain conditioned on Employee’s satisfaction of and adherence to such covenants and obligations set forth in such continuing agreements. Employee agrees that no promises, coercion, representations or inducements have been made which caused Employee to sign this Agreement and Release other than those which are expressly set forth above and that the terms of this Agreement and Release are contractual and not a mere recital.</w:t>
      </w:r>
    </w:p>
    <w:p>
      <w:pPr>
        <w:spacing w:after="0" w:line="161" w:lineRule="exact"/>
        <w:rPr>
          <w:rFonts w:ascii="Arial" w:cs="Arial" w:eastAsia="Arial" w:hAnsi="Arial"/>
          <w:sz w:val="16"/>
          <w:szCs w:val="16"/>
          <w:color w:val="auto"/>
        </w:rPr>
      </w:pPr>
    </w:p>
    <w:p>
      <w:pPr>
        <w:ind w:firstLine="8"/>
        <w:spacing w:after="0" w:line="282" w:lineRule="auto"/>
        <w:tabs>
          <w:tab w:leader="none" w:pos="409"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and Release will be construed and interpreted in accordance with the laws of the District of Columbia,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to its conflicts of law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ind w:left="120" w:hanging="112"/>
        <w:spacing w:after="0" w:line="227" w:lineRule="auto"/>
        <w:tabs>
          <w:tab w:leader="none" w:pos="120" w:val="left"/>
        </w:tabs>
        <w:numPr>
          <w:ilvl w:val="0"/>
          <w:numId w:val="71"/>
        </w:numPr>
        <w:rPr>
          <w:rFonts w:ascii="Arial" w:cs="Arial" w:eastAsia="Arial" w:hAnsi="Arial"/>
          <w:sz w:val="22"/>
          <w:szCs w:val="22"/>
          <w:color w:val="auto"/>
          <w:vertAlign w:val="superscript"/>
        </w:rPr>
      </w:pPr>
      <w:r>
        <w:rPr>
          <w:rFonts w:ascii="Arial" w:cs="Arial" w:eastAsia="Arial" w:hAnsi="Arial"/>
          <w:sz w:val="16"/>
          <w:szCs w:val="16"/>
          <w:color w:val="auto"/>
        </w:rPr>
        <w:t>If you are waiving claims under West Virginia law you may seek guidance from the West Virginia Bar Association which can be reached at (800) 944-9822.</w:t>
      </w:r>
    </w:p>
    <w:p>
      <w:pPr>
        <w:spacing w:after="0" w:line="229" w:lineRule="exact"/>
        <w:rPr>
          <w:rFonts w:ascii="Arial" w:cs="Arial" w:eastAsia="Arial" w:hAnsi="Arial"/>
          <w:sz w:val="22"/>
          <w:szCs w:val="22"/>
          <w:color w:val="auto"/>
          <w:vertAlign w:val="superscript"/>
        </w:rPr>
      </w:pPr>
    </w:p>
    <w:p>
      <w:pPr>
        <w:ind w:left="5660"/>
        <w:spacing w:after="0"/>
        <w:rPr>
          <w:rFonts w:ascii="Arial" w:cs="Arial" w:eastAsia="Arial" w:hAnsi="Arial"/>
          <w:sz w:val="22"/>
          <w:szCs w:val="22"/>
          <w:color w:val="auto"/>
          <w:vertAlign w:val="superscript"/>
        </w:rPr>
      </w:pPr>
      <w:r>
        <w:rPr>
          <w:rFonts w:ascii="Arial" w:cs="Arial" w:eastAsia="Arial" w:hAnsi="Arial"/>
          <w:sz w:val="18"/>
          <w:szCs w:val="18"/>
          <w:color w:val="auto"/>
        </w:rPr>
        <w:t>3</w:t>
      </w:r>
    </w:p>
    <w:p>
      <w:pPr>
        <w:sectPr>
          <w:pgSz w:w="11900" w:h="16838" w:orient="portrait"/>
          <w:cols w:equalWidth="0" w:num="1">
            <w:col w:w="11420"/>
          </w:cols>
          <w:pgMar w:left="240" w:top="368" w:right="239" w:bottom="1440" w:gutter="0" w:footer="0" w:header="0"/>
        </w:sectPr>
      </w:pPr>
    </w:p>
    <w:bookmarkStart w:id="101" w:name="page102"/>
    <w:bookmarkEnd w:id="101"/>
    <w:p>
      <w:pPr>
        <w:jc w:val="both"/>
        <w:ind w:firstLine="8"/>
        <w:spacing w:after="0" w:line="258" w:lineRule="auto"/>
        <w:tabs>
          <w:tab w:leader="none" w:pos="315"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any provision of this Agreement and Release, or part thereof, is held invalid, void or voidable as against the public policy or otherwise by</w:t>
      </w:r>
      <w:r>
        <w:rPr>
          <w:rFonts w:ascii="Arial" w:cs="Arial" w:eastAsia="Arial" w:hAnsi="Arial"/>
          <w:sz w:val="18"/>
          <w:szCs w:val="18"/>
          <w:b w:val="1"/>
          <w:bCs w:val="1"/>
          <w:color w:val="auto"/>
        </w:rPr>
        <w:t xml:space="preserve"> </w:t>
      </w:r>
      <w:r>
        <w:rPr>
          <w:rFonts w:ascii="Arial" w:cs="Arial" w:eastAsia="Arial" w:hAnsi="Arial"/>
          <w:sz w:val="18"/>
          <w:szCs w:val="18"/>
          <w:color w:val="auto"/>
        </w:rPr>
        <w:t>any court of competent jurisdiction or arbitrator (excluding the general release language), such provision or portion thereof shall be deemed modified so as to render it enforceable, and to the extent such provision or portion thereof cannot be rendered enforceable, this Agreement and Release (excluding the general release language) shall be considered divisible as to such provision which shall become null and void, leaving the remainder of this Agreement and Release in full force and effect.</w:t>
      </w:r>
    </w:p>
    <w:p>
      <w:pPr>
        <w:spacing w:after="0" w:line="183" w:lineRule="exact"/>
        <w:rPr>
          <w:rFonts w:ascii="Arial" w:cs="Arial" w:eastAsia="Arial" w:hAnsi="Arial"/>
          <w:sz w:val="18"/>
          <w:szCs w:val="18"/>
          <w:color w:val="auto"/>
        </w:rPr>
      </w:pPr>
    </w:p>
    <w:p>
      <w:pPr>
        <w:ind w:firstLine="8"/>
        <w:spacing w:after="0" w:line="282" w:lineRule="auto"/>
        <w:tabs>
          <w:tab w:leader="none" w:pos="405"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Release As Defense</w:t>
      </w:r>
      <w:r>
        <w:rPr>
          <w:rFonts w:ascii="Arial" w:cs="Arial" w:eastAsia="Arial" w:hAnsi="Arial"/>
          <w:sz w:val="18"/>
          <w:szCs w:val="18"/>
          <w:color w:val="auto"/>
        </w:rPr>
        <w:t>. The release contained herein may be pleaded as a full and complete defense and may be used as the basis for an injunction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any action, suit or proceeding which may be prosecuted, instituted or attempted by either party in breach thereof.</w:t>
      </w:r>
    </w:p>
    <w:p>
      <w:pPr>
        <w:spacing w:after="0" w:line="161" w:lineRule="exact"/>
        <w:rPr>
          <w:rFonts w:ascii="Arial" w:cs="Arial" w:eastAsia="Arial" w:hAnsi="Arial"/>
          <w:sz w:val="18"/>
          <w:szCs w:val="18"/>
          <w:color w:val="auto"/>
        </w:rPr>
      </w:pPr>
    </w:p>
    <w:p>
      <w:pPr>
        <w:jc w:val="both"/>
        <w:ind w:firstLine="8"/>
        <w:spacing w:after="0" w:line="270" w:lineRule="auto"/>
        <w:tabs>
          <w:tab w:leader="none" w:pos="439" w:val="left"/>
        </w:tabs>
        <w:numPr>
          <w:ilvl w:val="0"/>
          <w:numId w:val="72"/>
        </w:numPr>
        <w:rPr>
          <w:rFonts w:ascii="Arial" w:cs="Arial" w:eastAsia="Arial" w:hAnsi="Arial"/>
          <w:sz w:val="17"/>
          <w:szCs w:val="17"/>
          <w:color w:val="auto"/>
        </w:rPr>
      </w:pPr>
      <w:r>
        <w:rPr>
          <w:rFonts w:ascii="Arial" w:cs="Arial" w:eastAsia="Arial" w:hAnsi="Arial"/>
          <w:sz w:val="17"/>
          <w:szCs w:val="17"/>
          <w:b w:val="1"/>
          <w:bCs w:val="1"/>
          <w:u w:val="single" w:color="auto"/>
          <w:color w:val="auto"/>
        </w:rPr>
        <w:t>Consultation with Counsel and Consideration Period</w:t>
      </w:r>
      <w:r>
        <w:rPr>
          <w:rFonts w:ascii="Arial" w:cs="Arial" w:eastAsia="Arial" w:hAnsi="Arial"/>
          <w:sz w:val="17"/>
          <w:szCs w:val="17"/>
          <w:color w:val="auto"/>
        </w:rPr>
        <w:t>. Employee further acknowledges that Employee has been advised in writing and offered the</w:t>
      </w:r>
      <w:r>
        <w:rPr>
          <w:rFonts w:ascii="Arial" w:cs="Arial" w:eastAsia="Arial" w:hAnsi="Arial"/>
          <w:sz w:val="17"/>
          <w:szCs w:val="17"/>
          <w:b w:val="1"/>
          <w:bCs w:val="1"/>
          <w:color w:val="auto"/>
        </w:rPr>
        <w:t xml:space="preserve"> </w:t>
      </w:r>
      <w:r>
        <w:rPr>
          <w:rFonts w:ascii="Arial" w:cs="Arial" w:eastAsia="Arial" w:hAnsi="Arial"/>
          <w:sz w:val="17"/>
          <w:szCs w:val="17"/>
          <w:color w:val="auto"/>
        </w:rPr>
        <w:t>opportunity to discuss this Agreement and Release and its contents with Employee’s attorney. Employee acknowledges that Employee has fully discussed this Agreement and Release with Employee’s attorney with respect to the meaning and effect of the provisions of this Agreement and Release, or has voluntarily chosen to sign this Agreement and Release without consulting Employee’s attorney, fully understanding the content, meaning and legal effect and consequences of this Agreement and Release. Employee acknowledges and agrees that Employer has given Employee twenty-one (21) days to review and consider this Agreement and Release before signing it, and Employee understands that Employee may use as much of this twenty-one (21) day period as Employee wishes prior to signing this Agreement and Release. If Employee voluntarily chooses to execute this Agreement and Release before the end of the twenty-one (21) day period, Employee will sign the attached “Election to Execute Prior to Expiration of twenty-one (21)-Day Consideration Period” at the same time Employee executes this Agreement and Release. Employee further acknowledges that Employee is executing this Agreement and Release voluntarily and free of any duress or coercion.</w:t>
      </w:r>
    </w:p>
    <w:p>
      <w:pPr>
        <w:spacing w:after="0" w:line="177" w:lineRule="exact"/>
        <w:rPr>
          <w:rFonts w:ascii="Arial" w:cs="Arial" w:eastAsia="Arial" w:hAnsi="Arial"/>
          <w:sz w:val="17"/>
          <w:szCs w:val="17"/>
          <w:color w:val="auto"/>
        </w:rPr>
      </w:pPr>
    </w:p>
    <w:p>
      <w:pPr>
        <w:ind w:firstLine="8"/>
        <w:spacing w:after="0" w:line="347" w:lineRule="auto"/>
        <w:tabs>
          <w:tab w:leader="none" w:pos="418" w:val="left"/>
        </w:tabs>
        <w:numPr>
          <w:ilvl w:val="0"/>
          <w:numId w:val="72"/>
        </w:numPr>
        <w:rPr>
          <w:rFonts w:ascii="Arial" w:cs="Arial" w:eastAsia="Arial" w:hAnsi="Arial"/>
          <w:sz w:val="16"/>
          <w:szCs w:val="16"/>
          <w:color w:val="auto"/>
        </w:rPr>
      </w:pPr>
      <w:r>
        <w:rPr>
          <w:rFonts w:ascii="Arial" w:cs="Arial" w:eastAsia="Arial" w:hAnsi="Arial"/>
          <w:sz w:val="16"/>
          <w:szCs w:val="16"/>
          <w:b w:val="1"/>
          <w:bCs w:val="1"/>
          <w:u w:val="single" w:color="auto"/>
          <w:color w:val="auto"/>
        </w:rPr>
        <w:t>Understanding of Agreement</w:t>
      </w:r>
      <w:r>
        <w:rPr>
          <w:rFonts w:ascii="Arial" w:cs="Arial" w:eastAsia="Arial" w:hAnsi="Arial"/>
          <w:sz w:val="16"/>
          <w:szCs w:val="16"/>
          <w:color w:val="auto"/>
        </w:rPr>
        <w:t>. Employee warrants and represents to Employer that Employee has read and understands the meaning of each provision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Agreement and Release and Employee’s signature below constitutes Employee’s acceptance of each term of the Agreement and Release.</w:t>
      </w:r>
    </w:p>
    <w:p>
      <w:pPr>
        <w:spacing w:after="0" w:line="116" w:lineRule="exact"/>
        <w:rPr>
          <w:rFonts w:ascii="Arial" w:cs="Arial" w:eastAsia="Arial" w:hAnsi="Arial"/>
          <w:sz w:val="16"/>
          <w:szCs w:val="16"/>
          <w:color w:val="auto"/>
        </w:rPr>
      </w:pPr>
    </w:p>
    <w:p>
      <w:pPr>
        <w:jc w:val="both"/>
        <w:ind w:firstLine="8"/>
        <w:spacing w:after="0" w:line="273" w:lineRule="auto"/>
        <w:tabs>
          <w:tab w:leader="none" w:pos="446" w:val="left"/>
        </w:tabs>
        <w:numPr>
          <w:ilvl w:val="0"/>
          <w:numId w:val="72"/>
        </w:numPr>
        <w:rPr>
          <w:rFonts w:ascii="Arial" w:cs="Arial" w:eastAsia="Arial" w:hAnsi="Arial"/>
          <w:sz w:val="17"/>
          <w:szCs w:val="17"/>
          <w:color w:val="auto"/>
        </w:rPr>
      </w:pPr>
      <w:r>
        <w:rPr>
          <w:rFonts w:ascii="Arial" w:cs="Arial" w:eastAsia="Arial" w:hAnsi="Arial"/>
          <w:sz w:val="17"/>
          <w:szCs w:val="17"/>
          <w:b w:val="1"/>
          <w:bCs w:val="1"/>
          <w:u w:val="single" w:color="auto"/>
          <w:color w:val="auto"/>
        </w:rPr>
        <w:t>Revocation Period</w:t>
      </w:r>
      <w:r>
        <w:rPr>
          <w:rFonts w:ascii="Arial" w:cs="Arial" w:eastAsia="Arial" w:hAnsi="Arial"/>
          <w:sz w:val="17"/>
          <w:szCs w:val="17"/>
          <w:color w:val="auto"/>
        </w:rPr>
        <w:t>. Employee acknowledges that for a period of seven (7) days after this Agreement and Release is signed by Employee, 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may revoke this Agreement and Release, and the Agreement and Release shall not become effective or enforceable until such revocation period has expired. If Employee elects to revoke this Agreement and Release within this seven-day period, Employee will so inform Employer by delivering a written notice of revocation to Employer via its General Counsel, Jon Coleman. This Agreement and Release shall not become effective and enforceable until eight (8) days after it has been signed by Employee and Employer, and in the event that the parties do not sign on the same date, then this Agreement shall become effective eight (8) days after it is signed by Employee. Notwithstanding the foregoing, this Agreement and Release shall not become effective and enforceable if Employee revokes it within the seven (7) day revocation period by written notice to Employer.</w:t>
      </w:r>
    </w:p>
    <w:p>
      <w:pPr>
        <w:spacing w:after="0" w:line="172" w:lineRule="exact"/>
        <w:rPr>
          <w:rFonts w:ascii="Arial" w:cs="Arial" w:eastAsia="Arial" w:hAnsi="Arial"/>
          <w:sz w:val="17"/>
          <w:szCs w:val="17"/>
          <w:color w:val="auto"/>
        </w:rPr>
      </w:pPr>
    </w:p>
    <w:p>
      <w:pPr>
        <w:jc w:val="both"/>
        <w:ind w:firstLine="8"/>
        <w:spacing w:after="0" w:line="256" w:lineRule="auto"/>
        <w:tabs>
          <w:tab w:leader="none" w:pos="446"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color w:val="auto"/>
        </w:rPr>
        <w:t>. Employee agrees not to make and/or publish in any manner any derogatory, adverse, false or defamatory statements, written or</w:t>
      </w:r>
      <w:r>
        <w:rPr>
          <w:rFonts w:ascii="Arial" w:cs="Arial" w:eastAsia="Arial" w:hAnsi="Arial"/>
          <w:sz w:val="18"/>
          <w:szCs w:val="18"/>
          <w:b w:val="1"/>
          <w:bCs w:val="1"/>
          <w:color w:val="auto"/>
        </w:rPr>
        <w:t xml:space="preserve"> </w:t>
      </w:r>
      <w:r>
        <w:rPr>
          <w:rFonts w:ascii="Arial" w:cs="Arial" w:eastAsia="Arial" w:hAnsi="Arial"/>
          <w:sz w:val="18"/>
          <w:szCs w:val="18"/>
          <w:color w:val="auto"/>
        </w:rPr>
        <w:t>verbal, regarding any of the Released Parties to anyone including, but not limited to Employer’s or its affiliates’ respective directors, officers, employees, agents, vendors, existing clients, or potential clients that Employee knows that Employer or any of its affiliates has targeted. Employee agrees that Employee has not and will not engage in the following activities: (1) incite other persons and/or entities to raise allegations of wrongdoing against any of the Released Parties; and/or (2) publish any representation that any of the Released Parties in any way treated Employee unfairly, breached any obligation to Employee, or in any other manner mistreated Employee.</w:t>
      </w:r>
    </w:p>
    <w:p>
      <w:pPr>
        <w:spacing w:after="0" w:line="187" w:lineRule="exact"/>
        <w:rPr>
          <w:rFonts w:ascii="Arial" w:cs="Arial" w:eastAsia="Arial" w:hAnsi="Arial"/>
          <w:sz w:val="18"/>
          <w:szCs w:val="18"/>
          <w:color w:val="auto"/>
        </w:rPr>
      </w:pPr>
    </w:p>
    <w:p>
      <w:pPr>
        <w:ind w:firstLine="8"/>
        <w:spacing w:after="0" w:line="282" w:lineRule="auto"/>
        <w:tabs>
          <w:tab w:leader="none" w:pos="513"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Future Assistance</w:t>
      </w:r>
      <w:r>
        <w:rPr>
          <w:rFonts w:ascii="Arial" w:cs="Arial" w:eastAsia="Arial" w:hAnsi="Arial"/>
          <w:sz w:val="18"/>
          <w:szCs w:val="18"/>
          <w:color w:val="auto"/>
        </w:rPr>
        <w:t>. Employee agrees to be available to respond to future inquiries or reasonable requests for assistance from Employer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Affiliates related to matters arising during Employee’s employment with Employer.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102" w:name="page103"/>
    <w:bookmarkEnd w:id="102"/>
    <w:p>
      <w:pPr>
        <w:jc w:val="both"/>
        <w:ind w:firstLine="8"/>
        <w:spacing w:after="0" w:line="256" w:lineRule="auto"/>
        <w:tabs>
          <w:tab w:leader="none" w:pos="432"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Affirmations</w:t>
      </w:r>
      <w:r>
        <w:rPr>
          <w:rFonts w:ascii="Arial" w:cs="Arial" w:eastAsia="Arial" w:hAnsi="Arial"/>
          <w:sz w:val="18"/>
          <w:szCs w:val="18"/>
          <w:color w:val="auto"/>
        </w:rPr>
        <w:t>. Employee affirms that Employee has not filed, caused to be filed, or presently is a party to any claim, complaint, or action against any</w:t>
      </w:r>
      <w:r>
        <w:rPr>
          <w:rFonts w:ascii="Arial" w:cs="Arial" w:eastAsia="Arial" w:hAnsi="Arial"/>
          <w:sz w:val="18"/>
          <w:szCs w:val="18"/>
          <w:b w:val="1"/>
          <w:bCs w:val="1"/>
          <w:color w:val="auto"/>
        </w:rPr>
        <w:t xml:space="preserve"> </w:t>
      </w:r>
      <w:r>
        <w:rPr>
          <w:rFonts w:ascii="Arial" w:cs="Arial" w:eastAsia="Arial" w:hAnsi="Arial"/>
          <w:sz w:val="18"/>
          <w:szCs w:val="18"/>
          <w:color w:val="auto"/>
        </w:rPr>
        <w:t>Released Party in any forum or form. Employee further affirms that Employee has been paid and/or has received all leave (paid or unpaid), compensation, wages, bonuses, commissions, and/or benefits to which Employee may be entitled and that no other leave (paid or unpaid), compensation, wages, bonuses, commissions, benefits and/or monies are due to Employee, with the exception of the consideration provided in this Agreement and Release. Employee furthermore affirms that Employee has no known workplace injuries or occupational diseases and has been provided and/or has not been denied any leave requested under the Family and Medical Leave Act.</w:t>
      </w:r>
    </w:p>
    <w:p>
      <w:pPr>
        <w:spacing w:after="0" w:line="187" w:lineRule="exact"/>
        <w:rPr>
          <w:rFonts w:ascii="Arial" w:cs="Arial" w:eastAsia="Arial" w:hAnsi="Arial"/>
          <w:sz w:val="18"/>
          <w:szCs w:val="18"/>
          <w:color w:val="auto"/>
        </w:rPr>
      </w:pPr>
    </w:p>
    <w:p>
      <w:pPr>
        <w:ind w:firstLine="8"/>
        <w:spacing w:after="0" w:line="347" w:lineRule="auto"/>
        <w:tabs>
          <w:tab w:leader="none" w:pos="446" w:val="left"/>
        </w:tabs>
        <w:numPr>
          <w:ilvl w:val="0"/>
          <w:numId w:val="73"/>
        </w:numPr>
        <w:rPr>
          <w:rFonts w:ascii="Arial" w:cs="Arial" w:eastAsia="Arial" w:hAnsi="Arial"/>
          <w:sz w:val="16"/>
          <w:szCs w:val="16"/>
          <w:color w:val="auto"/>
        </w:rPr>
      </w:pPr>
      <w:r>
        <w:rPr>
          <w:rFonts w:ascii="Arial" w:cs="Arial" w:eastAsia="Arial" w:hAnsi="Arial"/>
          <w:sz w:val="16"/>
          <w:szCs w:val="16"/>
          <w:b w:val="1"/>
          <w:bCs w:val="1"/>
          <w:u w:val="single" w:color="auto"/>
          <w:color w:val="auto"/>
        </w:rPr>
        <w:t>Nonadmission of Wrongdoing</w:t>
      </w:r>
      <w:r>
        <w:rPr>
          <w:rFonts w:ascii="Arial" w:cs="Arial" w:eastAsia="Arial" w:hAnsi="Arial"/>
          <w:sz w:val="16"/>
          <w:szCs w:val="16"/>
          <w:color w:val="auto"/>
        </w:rPr>
        <w:t>. The parties agree that neither this Agreement and Release nor the furnishing of the consideration for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Release shall be deemed or construed at any time for any purpose as an admission by either party of any liability or unlawful conduct of any kind.</w:t>
      </w:r>
    </w:p>
    <w:p>
      <w:pPr>
        <w:spacing w:after="0" w:line="116" w:lineRule="exact"/>
        <w:rPr>
          <w:rFonts w:ascii="Arial" w:cs="Arial" w:eastAsia="Arial" w:hAnsi="Arial"/>
          <w:sz w:val="16"/>
          <w:szCs w:val="16"/>
          <w:color w:val="auto"/>
        </w:rPr>
      </w:pPr>
    </w:p>
    <w:p>
      <w:pPr>
        <w:jc w:val="both"/>
        <w:ind w:firstLine="8"/>
        <w:spacing w:after="0" w:line="261" w:lineRule="auto"/>
        <w:tabs>
          <w:tab w:leader="none" w:pos="567"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COBRA</w:t>
      </w:r>
      <w:r>
        <w:rPr>
          <w:rFonts w:ascii="Arial" w:cs="Arial" w:eastAsia="Arial" w:hAnsi="Arial"/>
          <w:sz w:val="18"/>
          <w:szCs w:val="18"/>
          <w:color w:val="auto"/>
        </w:rPr>
        <w:t>. Employee hereby acknowledges that Employer has advised Employee that (if applicable) under the Consolidated Omnibus Budget</w:t>
      </w:r>
      <w:r>
        <w:rPr>
          <w:rFonts w:ascii="Arial" w:cs="Arial" w:eastAsia="Arial" w:hAnsi="Arial"/>
          <w:sz w:val="18"/>
          <w:szCs w:val="18"/>
          <w:b w:val="1"/>
          <w:bCs w:val="1"/>
          <w:color w:val="auto"/>
        </w:rPr>
        <w:t xml:space="preserve"> </w:t>
      </w:r>
      <w:r>
        <w:rPr>
          <w:rFonts w:ascii="Arial" w:cs="Arial" w:eastAsia="Arial" w:hAnsi="Arial"/>
          <w:sz w:val="18"/>
          <w:szCs w:val="18"/>
          <w:color w:val="auto"/>
        </w:rPr>
        <w:t>Reconciliation Act of 1985 (COBRA) and as applicable state law Employee has a right to elect continued coverage under Employer’s group health plan, at Employee’s own expense, for a period of 18 months or more from the Termination Date. This election must be made no later than 60 days after the notification date.</w:t>
      </w:r>
    </w:p>
    <w:p>
      <w:pPr>
        <w:spacing w:after="0" w:line="18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EMPLOYEE HEREBY IS AGAIN ADVISED IN WRITING THAT EMPLOYEE HAS UP TO TWENTY-ONE (21) DAYS TO CONSIDER THIS AGREEMENT AND RELEASE AND TO CONSULT WITH AN ATTORNEY PRIOR TO EXECUTION OF THIS AGREEMENT AND RELEASE.</w:t>
      </w:r>
    </w:p>
    <w:p>
      <w:pPr>
        <w:spacing w:after="0" w:line="39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EMPLOYEE HEREBY AGREES THAT ANY MODIFICATIONS, MATERIAL OR OTHERWISE, MADE TO THIS AGREEMENT AND RELEASE DO NOT RESTART OR AFFECT IN ANY MANNER THE ORIGINAL TWENTY-ONE DAY CONSIDERATION PERIOD.</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HAVING ELECTED TO EXECUTE THIS AGREEMENT AND RELEASE, TO FULFILL THE PROMISES SET FORTH HEREIN, AND TO RECEIVE THEREBY THE SUMS SET FORTH IN PARAGRAPH "2" ABOVE, EMPLOYEE FREELY AND KNOWINGLY, AND AFTER DUE CONSIDERATION, ENTERS INTO THIS AGREEMENT AND RELEASE INTENDING TO WAIVE, SETTLE AND RELEASE ALL CLAIMS EMPLOYEE HAS OR MIGHT HAVE AGAINST RELEASED PARTIES, INCLUDING ALL CLAIMS UNDER THE AGE DISCRIMINATION IN EMPLOYMENT ACT AND THE OLDER WORKERS BENEFIT PROTECTION ACT.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103" w:name="page104"/>
    <w:bookmarkEnd w:id="103"/>
    <w:p>
      <w:pPr>
        <w:jc w:val="right"/>
        <w:ind w:right="1679"/>
        <w:spacing w:after="0"/>
        <w:rPr>
          <w:sz w:val="20"/>
          <w:szCs w:val="20"/>
          <w:color w:val="auto"/>
        </w:rPr>
      </w:pPr>
      <w:r>
        <w:rPr>
          <w:rFonts w:ascii="Arial" w:cs="Arial" w:eastAsia="Arial" w:hAnsi="Arial"/>
          <w:sz w:val="18"/>
          <w:szCs w:val="18"/>
          <w:b w:val="1"/>
          <w:bCs w:val="1"/>
          <w:i w:val="1"/>
          <w:iCs w:val="1"/>
          <w:color w:val="auto"/>
        </w:rPr>
        <w:t>Signature Page to Confidential Separation Agreement and General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2"/>
          </w:tcPr>
          <w:p>
            <w:pPr>
              <w:ind w:left="40"/>
              <w:spacing w:after="0"/>
              <w:rPr>
                <w:sz w:val="20"/>
                <w:szCs w:val="20"/>
                <w:color w:val="auto"/>
              </w:rPr>
            </w:pPr>
            <w:r>
              <w:rPr>
                <w:rFonts w:ascii="Arial" w:cs="Arial" w:eastAsia="Arial" w:hAnsi="Arial"/>
                <w:sz w:val="18"/>
                <w:szCs w:val="18"/>
                <w:b w:val="1"/>
                <w:bCs w:val="1"/>
                <w:color w:val="auto"/>
              </w:rPr>
              <w:t>Employer</w:t>
            </w:r>
          </w:p>
        </w:tc>
        <w:tc>
          <w:tcPr>
            <w:tcW w:w="2280" w:type="dxa"/>
            <w:vAlign w:val="bottom"/>
          </w:tcPr>
          <w:p>
            <w:pPr>
              <w:spacing w:after="0"/>
              <w:rPr>
                <w:sz w:val="20"/>
                <w:szCs w:val="20"/>
                <w:color w:val="auto"/>
              </w:rPr>
            </w:pPr>
          </w:p>
        </w:tc>
      </w:tr>
      <w:tr>
        <w:trPr>
          <w:trHeight w:val="594"/>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/s/ Donna Tanenbaum</w:t>
            </w:r>
          </w:p>
        </w:tc>
        <w:tc>
          <w:tcPr>
            <w:tcW w:w="2280" w:type="dxa"/>
            <w:vAlign w:val="bottom"/>
          </w:tcPr>
          <w:p>
            <w:pPr>
              <w:ind w:left="40"/>
              <w:spacing w:after="0"/>
              <w:rPr>
                <w:sz w:val="20"/>
                <w:szCs w:val="20"/>
                <w:color w:val="auto"/>
              </w:rPr>
            </w:pPr>
            <w:r>
              <w:rPr>
                <w:rFonts w:ascii="Arial" w:cs="Arial" w:eastAsia="Arial" w:hAnsi="Arial"/>
                <w:sz w:val="18"/>
                <w:szCs w:val="18"/>
                <w:color w:val="auto"/>
              </w:rPr>
              <w:t>October 6, 2013</w:t>
            </w: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Name: Donna Tanenbaum</w:t>
            </w:r>
          </w:p>
        </w:tc>
        <w:tc>
          <w:tcPr>
            <w:tcW w:w="2280" w:type="dxa"/>
            <w:vAlign w:val="bottom"/>
          </w:tcPr>
          <w:p>
            <w:pPr>
              <w:ind w:left="40"/>
              <w:spacing w:after="0"/>
              <w:rPr>
                <w:sz w:val="20"/>
                <w:szCs w:val="20"/>
                <w:color w:val="auto"/>
              </w:rPr>
            </w:pPr>
            <w:r>
              <w:rPr>
                <w:rFonts w:ascii="Arial" w:cs="Arial" w:eastAsia="Arial" w:hAnsi="Arial"/>
                <w:sz w:val="18"/>
                <w:szCs w:val="18"/>
                <w:color w:val="auto"/>
              </w:rPr>
              <w:t>Date</w:t>
            </w:r>
          </w:p>
        </w:tc>
      </w:tr>
      <w:tr>
        <w:trPr>
          <w:trHeight w:val="270"/>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Title: VP, Human Resources</w:t>
            </w:r>
          </w:p>
        </w:tc>
        <w:tc>
          <w:tcPr>
            <w:tcW w:w="2280" w:type="dxa"/>
            <w:vAlign w:val="bottom"/>
          </w:tcPr>
          <w:p>
            <w:pPr>
              <w:spacing w:after="0"/>
              <w:rPr>
                <w:sz w:val="23"/>
                <w:szCs w:val="23"/>
                <w:color w:val="auto"/>
              </w:rPr>
            </w:pPr>
          </w:p>
        </w:tc>
      </w:tr>
      <w:tr>
        <w:trPr>
          <w:trHeight w:val="594"/>
        </w:trPr>
        <w:tc>
          <w:tcPr>
            <w:tcW w:w="4120" w:type="dxa"/>
            <w:vAlign w:val="bottom"/>
            <w:gridSpan w:val="2"/>
          </w:tcPr>
          <w:p>
            <w:pPr>
              <w:ind w:left="40"/>
              <w:spacing w:after="0"/>
              <w:rPr>
                <w:sz w:val="20"/>
                <w:szCs w:val="20"/>
                <w:color w:val="auto"/>
              </w:rPr>
            </w:pPr>
            <w:r>
              <w:rPr>
                <w:rFonts w:ascii="Arial" w:cs="Arial" w:eastAsia="Arial" w:hAnsi="Arial"/>
                <w:sz w:val="18"/>
                <w:szCs w:val="18"/>
                <w:b w:val="1"/>
                <w:bCs w:val="1"/>
                <w:color w:val="auto"/>
              </w:rPr>
              <w:t>Employee</w:t>
            </w:r>
          </w:p>
        </w:tc>
        <w:tc>
          <w:tcPr>
            <w:tcW w:w="2280" w:type="dxa"/>
            <w:vAlign w:val="bottom"/>
          </w:tcPr>
          <w:p>
            <w:pPr>
              <w:spacing w:after="0"/>
              <w:rPr>
                <w:sz w:val="24"/>
                <w:szCs w:val="24"/>
                <w:color w:val="auto"/>
              </w:rPr>
            </w:pPr>
          </w:p>
        </w:tc>
      </w:tr>
      <w:tr>
        <w:trPr>
          <w:trHeight w:val="594"/>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/s/ Jennifer L. Kitchen</w:t>
            </w:r>
          </w:p>
        </w:tc>
        <w:tc>
          <w:tcPr>
            <w:tcW w:w="2280" w:type="dxa"/>
            <w:vAlign w:val="bottom"/>
          </w:tcPr>
          <w:p>
            <w:pPr>
              <w:ind w:left="40"/>
              <w:spacing w:after="0"/>
              <w:rPr>
                <w:sz w:val="20"/>
                <w:szCs w:val="20"/>
                <w:color w:val="auto"/>
              </w:rPr>
            </w:pPr>
            <w:r>
              <w:rPr>
                <w:rFonts w:ascii="Arial" w:cs="Arial" w:eastAsia="Arial" w:hAnsi="Arial"/>
                <w:sz w:val="18"/>
                <w:szCs w:val="18"/>
                <w:color w:val="auto"/>
              </w:rPr>
              <w:t>October 6, 2013</w:t>
            </w: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Name:</w:t>
            </w:r>
          </w:p>
        </w:tc>
        <w:tc>
          <w:tcPr>
            <w:tcW w:w="2280" w:type="dxa"/>
            <w:vAlign w:val="bottom"/>
          </w:tcPr>
          <w:p>
            <w:pPr>
              <w:ind w:left="40"/>
              <w:spacing w:after="0"/>
              <w:rPr>
                <w:sz w:val="20"/>
                <w:szCs w:val="20"/>
                <w:color w:val="auto"/>
              </w:rPr>
            </w:pPr>
            <w:r>
              <w:rPr>
                <w:rFonts w:ascii="Arial" w:cs="Arial" w:eastAsia="Arial" w:hAnsi="Arial"/>
                <w:sz w:val="18"/>
                <w:szCs w:val="18"/>
                <w:color w:val="auto"/>
              </w:rPr>
              <w:t>Date</w:t>
            </w:r>
          </w:p>
        </w:tc>
      </w:tr>
      <w:tr>
        <w:trPr>
          <w:trHeight w:val="769"/>
        </w:trPr>
        <w:tc>
          <w:tcPr>
            <w:tcW w:w="4120" w:type="dxa"/>
            <w:vAlign w:val="bottom"/>
            <w:gridSpan w:val="2"/>
          </w:tcPr>
          <w:p>
            <w:pPr>
              <w:spacing w:after="0"/>
              <w:rPr>
                <w:sz w:val="20"/>
                <w:szCs w:val="20"/>
                <w:color w:val="auto"/>
              </w:rPr>
            </w:pPr>
            <w:r>
              <w:rPr>
                <w:rFonts w:ascii="Arial" w:cs="Arial" w:eastAsia="Arial" w:hAnsi="Arial"/>
                <w:sz w:val="18"/>
                <w:szCs w:val="18"/>
                <w:color w:val="auto"/>
              </w:rPr>
              <w:t>Note: Return signed agreement to:</w:t>
            </w:r>
          </w:p>
        </w:tc>
        <w:tc>
          <w:tcPr>
            <w:tcW w:w="2280" w:type="dxa"/>
            <w:vAlign w:val="bottom"/>
          </w:tcPr>
          <w:p>
            <w:pPr>
              <w:spacing w:after="0"/>
              <w:rPr>
                <w:sz w:val="24"/>
                <w:szCs w:val="24"/>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CoStar:</w:t>
            </w:r>
          </w:p>
        </w:tc>
        <w:tc>
          <w:tcPr>
            <w:tcW w:w="228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Donna Tanenbaum</w:t>
            </w:r>
          </w:p>
        </w:tc>
        <w:tc>
          <w:tcPr>
            <w:tcW w:w="228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CoStar Group, Inc.</w:t>
            </w:r>
          </w:p>
        </w:tc>
        <w:tc>
          <w:tcPr>
            <w:tcW w:w="228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1331 L Street, NW</w:t>
            </w:r>
          </w:p>
        </w:tc>
        <w:tc>
          <w:tcPr>
            <w:tcW w:w="228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Washington, DC 20005</w:t>
            </w:r>
          </w:p>
        </w:tc>
        <w:tc>
          <w:tcPr>
            <w:tcW w:w="228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Phone:</w:t>
            </w:r>
          </w:p>
        </w:tc>
        <w:tc>
          <w:tcPr>
            <w:tcW w:w="2280" w:type="dxa"/>
            <w:vAlign w:val="bottom"/>
          </w:tcPr>
          <w:p>
            <w:pPr>
              <w:spacing w:after="0"/>
              <w:rPr>
                <w:sz w:val="18"/>
                <w:szCs w:val="18"/>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Scan/e-mail to:</w:t>
            </w:r>
          </w:p>
        </w:tc>
        <w:tc>
          <w:tcPr>
            <w:tcW w:w="2280" w:type="dxa"/>
            <w:vAlign w:val="bottom"/>
          </w:tcPr>
          <w:p>
            <w:pPr>
              <w:spacing w:after="0"/>
              <w:rPr>
                <w:sz w:val="20"/>
                <w:szCs w:val="20"/>
                <w:color w:val="auto"/>
              </w:rPr>
            </w:pPr>
          </w:p>
        </w:tc>
      </w:tr>
    </w:tbl>
    <w:p>
      <w:pPr>
        <w:spacing w:after="0" w:line="200" w:lineRule="exact"/>
        <w:rPr>
          <w:sz w:val="20"/>
          <w:szCs w:val="20"/>
          <w:color w:val="auto"/>
        </w:rPr>
      </w:pPr>
    </w:p>
    <w:p>
      <w:pPr>
        <w:spacing w:after="0" w:line="24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1232" w:right="1440"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u w:val="single" w:color="auto"/>
          <w:color w:val="auto"/>
        </w:rPr>
        <w:t>ELECTION TO EXECUTE PRIOR TO EXPIRATION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TWENTY-ONE DAY CONSIDERATION PERIOD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 Jennifer Kitchen, understand that I have up to twenty-one calendar days within which to consider and execute the attached Agreement and Release.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However, after having consulted counsel, I have voluntarily, willingly, knowingly, and without coercion elected to execute the Agreement and Release before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twenty-one day period has expired.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206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Signature:</w:t>
            </w:r>
          </w:p>
        </w:tc>
        <w:tc>
          <w:tcPr>
            <w:tcW w:w="2480" w:type="dxa"/>
            <w:vAlign w:val="bottom"/>
          </w:tcPr>
          <w:p>
            <w:pPr>
              <w:ind w:left="20"/>
              <w:spacing w:after="0"/>
              <w:rPr>
                <w:sz w:val="20"/>
                <w:szCs w:val="20"/>
                <w:color w:val="auto"/>
              </w:rPr>
            </w:pPr>
            <w:r>
              <w:rPr>
                <w:rFonts w:ascii="Arial" w:cs="Arial" w:eastAsia="Arial" w:hAnsi="Arial"/>
                <w:sz w:val="18"/>
                <w:szCs w:val="18"/>
                <w:color w:val="auto"/>
              </w:rPr>
              <w:t>/s/ Jennifer L. Kitchen</w:t>
            </w:r>
          </w:p>
        </w:tc>
      </w:tr>
      <w:tr>
        <w:trPr>
          <w:trHeight w:val="27"/>
        </w:trPr>
        <w:tc>
          <w:tcPr>
            <w:tcW w:w="182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37"/>
        </w:trPr>
        <w:tc>
          <w:tcPr>
            <w:tcW w:w="1820" w:type="dxa"/>
            <w:vAlign w:val="bottom"/>
          </w:tcPr>
          <w:p>
            <w:pPr>
              <w:spacing w:after="0"/>
              <w:rPr>
                <w:sz w:val="20"/>
                <w:szCs w:val="20"/>
                <w:color w:val="auto"/>
              </w:rPr>
            </w:pPr>
            <w:r>
              <w:rPr>
                <w:rFonts w:ascii="Arial" w:cs="Arial" w:eastAsia="Arial" w:hAnsi="Arial"/>
                <w:sz w:val="18"/>
                <w:szCs w:val="18"/>
                <w:color w:val="auto"/>
              </w:rPr>
              <w:t>Name:</w:t>
            </w:r>
          </w:p>
        </w:tc>
        <w:tc>
          <w:tcPr>
            <w:tcW w:w="2480" w:type="dxa"/>
            <w:vAlign w:val="bottom"/>
          </w:tcPr>
          <w:p>
            <w:pPr>
              <w:ind w:left="20"/>
              <w:spacing w:after="0"/>
              <w:rPr>
                <w:sz w:val="20"/>
                <w:szCs w:val="20"/>
                <w:color w:val="auto"/>
              </w:rPr>
            </w:pPr>
            <w:r>
              <w:rPr>
                <w:rFonts w:ascii="Arial" w:cs="Arial" w:eastAsia="Arial" w:hAnsi="Arial"/>
                <w:sz w:val="18"/>
                <w:szCs w:val="18"/>
                <w:color w:val="auto"/>
              </w:rPr>
              <w:t>Jennifer L. Kitchen</w:t>
            </w:r>
          </w:p>
        </w:tc>
      </w:tr>
      <w:tr>
        <w:trPr>
          <w:trHeight w:val="27"/>
        </w:trPr>
        <w:tc>
          <w:tcPr>
            <w:tcW w:w="182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37"/>
        </w:trPr>
        <w:tc>
          <w:tcPr>
            <w:tcW w:w="1820" w:type="dxa"/>
            <w:vAlign w:val="bottom"/>
          </w:tcPr>
          <w:p>
            <w:pPr>
              <w:spacing w:after="0"/>
              <w:rPr>
                <w:sz w:val="20"/>
                <w:szCs w:val="20"/>
                <w:color w:val="auto"/>
              </w:rPr>
            </w:pPr>
            <w:r>
              <w:rPr>
                <w:rFonts w:ascii="Arial" w:cs="Arial" w:eastAsia="Arial" w:hAnsi="Arial"/>
                <w:sz w:val="18"/>
                <w:szCs w:val="18"/>
                <w:color w:val="auto"/>
              </w:rPr>
              <w:t>Date:</w:t>
            </w:r>
          </w:p>
        </w:tc>
        <w:tc>
          <w:tcPr>
            <w:tcW w:w="2480" w:type="dxa"/>
            <w:vAlign w:val="bottom"/>
          </w:tcPr>
          <w:p>
            <w:pPr>
              <w:ind w:left="20"/>
              <w:spacing w:after="0"/>
              <w:rPr>
                <w:sz w:val="20"/>
                <w:szCs w:val="20"/>
                <w:color w:val="auto"/>
              </w:rPr>
            </w:pPr>
            <w:r>
              <w:rPr>
                <w:rFonts w:ascii="Arial" w:cs="Arial" w:eastAsia="Arial" w:hAnsi="Arial"/>
                <w:sz w:val="18"/>
                <w:szCs w:val="18"/>
                <w:color w:val="auto"/>
              </w:rPr>
              <w:t>October 6, 2013</w:t>
            </w:r>
          </w:p>
        </w:tc>
      </w:tr>
      <w:tr>
        <w:trPr>
          <w:trHeight w:val="27"/>
        </w:trPr>
        <w:tc>
          <w:tcPr>
            <w:tcW w:w="182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380"/>
        <w:spacing w:after="0"/>
        <w:rPr>
          <w:sz w:val="20"/>
          <w:szCs w:val="20"/>
          <w:color w:val="auto"/>
        </w:rPr>
      </w:pPr>
      <w:r>
        <w:rPr>
          <w:rFonts w:ascii="Arial" w:cs="Arial" w:eastAsia="Arial" w:hAnsi="Arial"/>
          <w:sz w:val="18"/>
          <w:szCs w:val="18"/>
          <w:i w:val="1"/>
          <w:iCs w:val="1"/>
          <w:color w:val="auto"/>
        </w:rPr>
        <w:t>Acknowledged by Employer:</w:t>
      </w:r>
    </w:p>
    <w:p>
      <w:pPr>
        <w:spacing w:after="0" w:line="387"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740" w:type="dxa"/>
            <w:vAlign w:val="bottom"/>
          </w:tcPr>
          <w:p>
            <w:pPr>
              <w:ind w:left="20"/>
              <w:spacing w:after="0"/>
              <w:rPr>
                <w:sz w:val="20"/>
                <w:szCs w:val="20"/>
                <w:color w:val="auto"/>
              </w:rPr>
            </w:pPr>
            <w:r>
              <w:rPr>
                <w:rFonts w:ascii="Arial" w:cs="Arial" w:eastAsia="Arial" w:hAnsi="Arial"/>
                <w:sz w:val="18"/>
                <w:szCs w:val="18"/>
                <w:color w:val="auto"/>
                <w:w w:val="95"/>
              </w:rPr>
              <w:t>/s/ Donna Tanenbaum</w:t>
            </w:r>
          </w:p>
        </w:tc>
      </w:tr>
      <w:tr>
        <w:trPr>
          <w:trHeight w:val="27"/>
        </w:trPr>
        <w:tc>
          <w:tcPr>
            <w:tcW w:w="66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1740" w:type="dxa"/>
            <w:vAlign w:val="bottom"/>
          </w:tcPr>
          <w:p>
            <w:pPr>
              <w:ind w:left="20"/>
              <w:spacing w:after="0"/>
              <w:rPr>
                <w:sz w:val="20"/>
                <w:szCs w:val="20"/>
                <w:color w:val="auto"/>
              </w:rPr>
            </w:pPr>
            <w:r>
              <w:rPr>
                <w:rFonts w:ascii="Arial" w:cs="Arial" w:eastAsia="Arial" w:hAnsi="Arial"/>
                <w:sz w:val="18"/>
                <w:szCs w:val="18"/>
                <w:color w:val="auto"/>
              </w:rPr>
              <w:t>Donna Tanenbaum</w:t>
            </w:r>
          </w:p>
        </w:tc>
      </w:tr>
      <w:tr>
        <w:trPr>
          <w:trHeight w:val="27"/>
        </w:trPr>
        <w:tc>
          <w:tcPr>
            <w:tcW w:w="66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1740" w:type="dxa"/>
            <w:vAlign w:val="bottom"/>
          </w:tcPr>
          <w:p>
            <w:pPr>
              <w:ind w:left="20"/>
              <w:spacing w:after="0"/>
              <w:rPr>
                <w:sz w:val="20"/>
                <w:szCs w:val="20"/>
                <w:color w:val="auto"/>
              </w:rPr>
            </w:pPr>
            <w:r>
              <w:rPr>
                <w:rFonts w:ascii="Arial" w:cs="Arial" w:eastAsia="Arial" w:hAnsi="Arial"/>
                <w:sz w:val="18"/>
                <w:szCs w:val="18"/>
                <w:color w:val="auto"/>
                <w:w w:val="92"/>
              </w:rPr>
              <w:t>VP, Human Resources</w:t>
            </w:r>
          </w:p>
        </w:tc>
      </w:tr>
      <w:tr>
        <w:trPr>
          <w:trHeight w:val="27"/>
        </w:trPr>
        <w:tc>
          <w:tcPr>
            <w:tcW w:w="66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1740" w:type="dxa"/>
            <w:vAlign w:val="bottom"/>
          </w:tcPr>
          <w:p>
            <w:pPr>
              <w:ind w:left="20"/>
              <w:spacing w:after="0"/>
              <w:rPr>
                <w:sz w:val="20"/>
                <w:szCs w:val="20"/>
                <w:color w:val="auto"/>
              </w:rPr>
            </w:pPr>
            <w:r>
              <w:rPr>
                <w:rFonts w:ascii="Arial" w:cs="Arial" w:eastAsia="Arial" w:hAnsi="Arial"/>
                <w:sz w:val="18"/>
                <w:szCs w:val="18"/>
                <w:color w:val="auto"/>
              </w:rPr>
              <w:t>October 6, 2013</w:t>
            </w:r>
          </w:p>
        </w:tc>
      </w:tr>
      <w:tr>
        <w:trPr>
          <w:trHeight w:val="27"/>
        </w:trPr>
        <w:tc>
          <w:tcPr>
            <w:tcW w:w="66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 EMPLOYMENT</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This Agreement (the “Agreement”) is entered into between </w:t>
      </w:r>
      <w:r>
        <w:rPr>
          <w:rFonts w:ascii="Arial" w:cs="Arial" w:eastAsia="Arial" w:hAnsi="Arial"/>
          <w:sz w:val="18"/>
          <w:szCs w:val="18"/>
          <w:b w:val="1"/>
          <w:bCs w:val="1"/>
          <w:color w:val="auto"/>
        </w:rPr>
        <w:t>Jennifer Kitchen</w:t>
      </w:r>
      <w:r>
        <w:rPr>
          <w:rFonts w:ascii="Arial" w:cs="Arial" w:eastAsia="Arial" w:hAnsi="Arial"/>
          <w:sz w:val="18"/>
          <w:szCs w:val="18"/>
          <w:color w:val="auto"/>
        </w:rPr>
        <w:t xml:space="preserve"> (hereinafter "Employee") and CoStar Realty Information, Inc., 2 Bethesda Metro Center, Bethesda, MD 20814 (hereinafter the “Company”).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Employee is currently employed by the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WHEREAS, in return for the Employee entering into this Agreement, the Company desires to provide Employee with the following additional consideration; </w:t>
      </w:r>
      <w:r>
        <w:rPr>
          <w:rFonts w:ascii="Arial" w:cs="Arial" w:eastAsia="Arial" w:hAnsi="Arial"/>
          <w:sz w:val="18"/>
          <w:szCs w:val="18"/>
          <w:b w:val="1"/>
          <w:bCs w:val="1"/>
          <w:color w:val="auto"/>
        </w:rPr>
        <w:t>Pay Increase</w:t>
      </w:r>
      <w:r>
        <w:rPr>
          <w:rFonts w:ascii="Arial" w:cs="Arial" w:eastAsia="Arial" w:hAnsi="Arial"/>
          <w:sz w:val="18"/>
          <w:szCs w:val="18"/>
          <w:color w:val="auto"/>
        </w:rPr>
        <w:t xml:space="preserve"> (the “Additional Consideration”);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for the Additional Consideration, the receipt and sufficiency of which is hereby acknowledged, the parties hereby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1. Employee’s Employment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Employment At Will</w:t>
      </w:r>
      <w:r>
        <w:rPr>
          <w:rFonts w:ascii="Arial" w:cs="Arial" w:eastAsia="Arial" w:hAnsi="Arial"/>
          <w:sz w:val="18"/>
          <w:szCs w:val="18"/>
          <w:color w:val="auto"/>
        </w:rPr>
        <w:t>. The Company is an “at-will” employer, meaning that the Employee’s employment with the Employer can be terminated by either the Company or the Employee at any time with or without cause and with or without notice. This Agreement is not a contract, express or implied, relating to the Employee’s employment with the Company for any specific duration.</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Prior Employment Contract</w:t>
      </w:r>
      <w:r>
        <w:rPr>
          <w:rFonts w:ascii="Arial" w:cs="Arial" w:eastAsia="Arial" w:hAnsi="Arial"/>
          <w:sz w:val="17"/>
          <w:szCs w:val="17"/>
          <w:color w:val="auto"/>
        </w:rPr>
        <w:t>. Employee hereby acknowledges that he/she has given the Company a copy of any employment agreement to which he/she is currently a party, including any agreement that contains any confidentiality, non-competition or non-solicitation provision binding on the Employee. The Employee represents that he or she is not subject to any restriction that would prohibit the Employee from working for the Company.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2. Duties of Employee</w:t>
      </w:r>
    </w:p>
    <w:p>
      <w:pPr>
        <w:spacing w:after="0" w:line="22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u w:val="single" w:color="auto"/>
          <w:color w:val="auto"/>
        </w:rPr>
        <w:t>Duty of Confidentiality</w:t>
      </w:r>
      <w:r>
        <w:rPr>
          <w:rFonts w:ascii="Arial" w:cs="Arial" w:eastAsia="Arial" w:hAnsi="Arial"/>
          <w:sz w:val="17"/>
          <w:szCs w:val="17"/>
          <w:color w:val="auto"/>
        </w:rPr>
        <w:t>.</w:t>
      </w:r>
    </w:p>
    <w:p>
      <w:pPr>
        <w:spacing w:after="0" w:line="225" w:lineRule="exact"/>
        <w:rPr>
          <w:sz w:val="20"/>
          <w:szCs w:val="20"/>
          <w:color w:val="auto"/>
        </w:rPr>
      </w:pPr>
    </w:p>
    <w:p>
      <w:pPr>
        <w:jc w:val="both"/>
        <w:ind w:firstLine="262"/>
        <w:spacing w:after="0" w:line="286" w:lineRule="auto"/>
        <w:tabs>
          <w:tab w:leader="none" w:pos="707" w:val="left"/>
        </w:tabs>
        <w:numPr>
          <w:ilvl w:val="0"/>
          <w:numId w:val="74"/>
        </w:numPr>
        <w:rPr>
          <w:rFonts w:ascii="Arial" w:cs="Arial" w:eastAsia="Arial" w:hAnsi="Arial"/>
          <w:sz w:val="16"/>
          <w:szCs w:val="16"/>
          <w:color w:val="auto"/>
        </w:rPr>
      </w:pPr>
      <w:r>
        <w:rPr>
          <w:rFonts w:ascii="Arial" w:cs="Arial" w:eastAsia="Arial" w:hAnsi="Arial"/>
          <w:sz w:val="16"/>
          <w:szCs w:val="16"/>
          <w:color w:val="auto"/>
        </w:rPr>
        <w:t>Employee acknowledges and agrees that Employee has and will have access to and will come into contact and learn various technical and non-technical trade secrets and other confidential information, which are the property of the Company (collectively, the “Confidential Information”). Employee acknowledges and agrees that Employee is being provided access to such Trade Secrets and Confidential Information, subject to and solely based upon Employee’s agreement to the covenants set forth in this Agreement and Employee would not otherwise be afforded access to such information. Such Confidential Information includes, but is not limited to: (i) research methods, methods of compiling real estate information, methods of creating the Company’s database, procedures, devices, machines, equipment, data processing programs, software, computer models, research projects, and other means used by the Company in the conduct of its business; (ii) product formulations, strategies and plans for future business, new business, product or other development, new and innovative product ideas, potential acquisitions or divestitures, and new marketing ideas; (iii) information with respect to costs, commissions, fees, profits, sales, markets, sales methods and financial information; (iv) mailing lists, the identity of the Company’s customers, distributors and suppliers and their names and addresses, the names of customer representatives responsible for entering into contracts for the Company’s products or services, the amounts paid by such customers to the Company, specific customer needs and requirements, and leads and referrals to prospective customers; and (v) the identity of the Company’s employees, their respective salaries, bonuses, benefits, qualifications and abilities; all of which information Employee acknowledges and agrees is not generally known or available to the general public, but has been developed, compiled or acquired by the Company at its great effort and expense. Confidential Information can be in any form: oral, written or machine readable, including electronic files. For purposes of Section 2 of this Agreement, the definition of the “Company” includes the Company, its parent and its parent’s wholly owned subsidiaries.</w:t>
      </w:r>
    </w:p>
    <w:p>
      <w:pPr>
        <w:spacing w:after="0" w:line="168" w:lineRule="exact"/>
        <w:rPr>
          <w:rFonts w:ascii="Arial" w:cs="Arial" w:eastAsia="Arial" w:hAnsi="Arial"/>
          <w:sz w:val="16"/>
          <w:szCs w:val="16"/>
          <w:color w:val="auto"/>
        </w:rPr>
      </w:pPr>
    </w:p>
    <w:p>
      <w:pPr>
        <w:jc w:val="both"/>
        <w:ind w:firstLine="656"/>
        <w:spacing w:after="0" w:line="255" w:lineRule="auto"/>
        <w:tabs>
          <w:tab w:leader="none" w:pos="1107" w:val="left"/>
        </w:tabs>
        <w:numPr>
          <w:ilvl w:val="1"/>
          <w:numId w:val="74"/>
        </w:numPr>
        <w:rPr>
          <w:rFonts w:ascii="Arial" w:cs="Arial" w:eastAsia="Arial" w:hAnsi="Arial"/>
          <w:sz w:val="18"/>
          <w:szCs w:val="18"/>
          <w:color w:val="auto"/>
        </w:rPr>
      </w:pPr>
      <w:r>
        <w:rPr>
          <w:rFonts w:ascii="Arial" w:cs="Arial" w:eastAsia="Arial" w:hAnsi="Arial"/>
          <w:sz w:val="18"/>
          <w:szCs w:val="18"/>
          <w:color w:val="auto"/>
        </w:rPr>
        <w:t>Employee agrees to treat all Confidential Information in a secret and confidential manner and agrees not to reproduce or copy any of such Confidential Information without the Company's written consent. Employee agrees that he or she will not, without the prior written consent of the Company, directly or indirectly: (i) disclose or divulge any Confidential Information to any person, entity, firm, or company, unless compelled by governmental process; or (ii) use any Confidential Information in any manner other than to perform his or her employment for the Company. Employee agrees that, given the nature of the Company’s business and business plans there will never come a time when disclosure of the Confidential Information would not be seriously injurious to the Company.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106" w:name="page107"/>
    <w:bookmarkEnd w:id="106"/>
    <w:p>
      <w:pPr>
        <w:ind w:firstLine="656"/>
        <w:spacing w:after="0" w:line="27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Employee agrees to provide such reasonable assistance as may be required by the Company to maintain the secrecy and confidentiality of the Confidential Information.</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084" w:val="left"/>
        </w:tabs>
        <w:numPr>
          <w:ilvl w:val="0"/>
          <w:numId w:val="75"/>
        </w:numPr>
        <w:rPr>
          <w:rFonts w:ascii="Arial" w:cs="Arial" w:eastAsia="Arial" w:hAnsi="Arial"/>
          <w:sz w:val="18"/>
          <w:szCs w:val="18"/>
          <w:color w:val="auto"/>
        </w:rPr>
      </w:pPr>
      <w:r>
        <w:rPr>
          <w:rFonts w:ascii="Arial" w:cs="Arial" w:eastAsia="Arial" w:hAnsi="Arial"/>
          <w:sz w:val="18"/>
          <w:szCs w:val="18"/>
          <w:color w:val="auto"/>
        </w:rPr>
        <w:t>Employee agrees that, upon termination of Employee’s employment for any reason, or at any other time the Company so requests, he or she will promptly deliver to his or her supervisor all Confidential Information and all copies thereof, and all other property of the Company that are in his or her possession or control.</w:t>
      </w:r>
    </w:p>
    <w:p>
      <w:pPr>
        <w:spacing w:after="0" w:line="181" w:lineRule="exact"/>
        <w:rPr>
          <w:rFonts w:ascii="Arial" w:cs="Arial" w:eastAsia="Arial" w:hAnsi="Arial"/>
          <w:sz w:val="18"/>
          <w:szCs w:val="18"/>
          <w:color w:val="auto"/>
        </w:rPr>
      </w:pPr>
    </w:p>
    <w:p>
      <w:pPr>
        <w:ind w:firstLine="656"/>
        <w:spacing w:after="0" w:line="277" w:lineRule="auto"/>
        <w:tabs>
          <w:tab w:leader="none" w:pos="1105" w:val="left"/>
        </w:tabs>
        <w:numPr>
          <w:ilvl w:val="0"/>
          <w:numId w:val="75"/>
        </w:numPr>
        <w:rPr>
          <w:rFonts w:ascii="Arial" w:cs="Arial" w:eastAsia="Arial" w:hAnsi="Arial"/>
          <w:sz w:val="18"/>
          <w:szCs w:val="18"/>
          <w:color w:val="auto"/>
        </w:rPr>
      </w:pPr>
      <w:r>
        <w:rPr>
          <w:rFonts w:ascii="Arial" w:cs="Arial" w:eastAsia="Arial" w:hAnsi="Arial"/>
          <w:sz w:val="18"/>
          <w:szCs w:val="18"/>
          <w:color w:val="auto"/>
        </w:rPr>
        <w:t>Employee acknowledges that in the event of a breach of this Section by Employee, the Company may suffer irreparable harm and will be entitled to injunctive relief as well as all other remedies available at law or in equity.</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Duty of Non-Solicitation of Customers</w:t>
      </w:r>
      <w:r>
        <w:rPr>
          <w:rFonts w:ascii="Arial" w:cs="Arial" w:eastAsia="Arial" w:hAnsi="Arial"/>
          <w:sz w:val="16"/>
          <w:szCs w:val="16"/>
          <w:color w:val="auto"/>
        </w:rPr>
        <w:t>. Employee agrees that for the duration of Employee’s employment with the Company, and for a period of one (1) year after Employee’s employment with the Company is terminated for any reason, whether voluntary or involuntary, he or she will not, without the prior written consent of the Company, directly or indirectly, individually or on behalf of others, solicit, divert, take away, or interfere with any of the Company's customers with whom Employee had contact or regarding whom Employee obtained Confidential Information during the last two (2) years of employment with the Company, with respect to any business that competes with the Company. Employee acknowledges that in the event of a breach of this Section by Employee, the Company may suffer irreparable harm and will be entitled to injunctive relief as well as all other remedies available at law or in equity.</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Duty of Non-Solicitation of Employees</w:t>
      </w:r>
      <w:r>
        <w:rPr>
          <w:rFonts w:ascii="Arial" w:cs="Arial" w:eastAsia="Arial" w:hAnsi="Arial"/>
          <w:sz w:val="18"/>
          <w:szCs w:val="18"/>
          <w:color w:val="auto"/>
        </w:rPr>
        <w:t>. Employee agrees that Employee will not, during the term of employment with the Company and for an additional period of one (1) year after Employee’s employment with the Company is terminated for any reason, whether voluntarily or involuntarily, for any reason whatsoever, directly or indirectly, individually or on behalf of others, aid or endeavor to solicit or induce any other employee or consultant of the Company to leave the employment or service of the Company, in order to accept employment of any kind with any other person, firm, partnership, or corporation. Employee acknowledges that in the event of a breach of this Section by Employee, the Company may suffer irreparable harm and will be entitled to injunctive relief as well as all other remedies available at law or in equity.</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No Derogatory Statements</w:t>
      </w:r>
      <w:r>
        <w:rPr>
          <w:rFonts w:ascii="Arial" w:cs="Arial" w:eastAsia="Arial" w:hAnsi="Arial"/>
          <w:sz w:val="18"/>
          <w:szCs w:val="18"/>
          <w:color w:val="auto"/>
        </w:rPr>
        <w:t>. Employee agrees not to make and/or publish in any manner, any derogatory or adverse statements, written or verbal, regarding the Company or its owners, directors, officers, employees, agents, affiliates, successors and/or assigns, except as permitted by law, to anyone including, but not limited to the Company’s (or its successors and/or assigns) directors, officers, employees, agents, vendors, existing clients or potential clients that Employee knows that the Company has targeted.</w:t>
      </w:r>
    </w:p>
    <w:p>
      <w:pPr>
        <w:spacing w:after="0" w:line="18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Duty of Non-Competition</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73" w:lineRule="auto"/>
        <w:tabs>
          <w:tab w:leader="none" w:pos="1049" w:val="left"/>
        </w:tabs>
        <w:numPr>
          <w:ilvl w:val="0"/>
          <w:numId w:val="76"/>
        </w:numPr>
        <w:rPr>
          <w:rFonts w:ascii="Arial" w:cs="Arial" w:eastAsia="Arial" w:hAnsi="Arial"/>
          <w:sz w:val="17"/>
          <w:szCs w:val="17"/>
          <w:color w:val="auto"/>
        </w:rPr>
      </w:pPr>
      <w:r>
        <w:rPr>
          <w:rFonts w:ascii="Arial" w:cs="Arial" w:eastAsia="Arial" w:hAnsi="Arial"/>
          <w:sz w:val="17"/>
          <w:szCs w:val="17"/>
          <w:color w:val="auto"/>
        </w:rPr>
        <w:t>Employee acknowledges and agrees that in consideration for entering into this Agreement, Employee will come into contact with, have access to and learn various technical and non-technical trade secrets and other Confidential Information, which are the property of the Company. Employee also will receive training in the Company’s proprietary business methods and practices. All of the Company’s trade secrets and Confidential Information have been developed, acquired and compiled by the Company at its great effort and expense. Employee acknowledges, agrees and understands that the Company is relying upon this covenant not to compete in providing Employee access to its trade secrets and other Confidential Information and will not provide Employee access to this information but for Employee’s agreement to this covenant.</w:t>
      </w:r>
    </w:p>
    <w:p>
      <w:pPr>
        <w:spacing w:after="0" w:line="178" w:lineRule="exact"/>
        <w:rPr>
          <w:rFonts w:ascii="Arial" w:cs="Arial" w:eastAsia="Arial" w:hAnsi="Arial"/>
          <w:sz w:val="17"/>
          <w:szCs w:val="17"/>
          <w:color w:val="auto"/>
        </w:rPr>
      </w:pPr>
    </w:p>
    <w:p>
      <w:pPr>
        <w:jc w:val="both"/>
        <w:ind w:firstLine="656"/>
        <w:spacing w:after="0" w:line="264" w:lineRule="auto"/>
        <w:tabs>
          <w:tab w:leader="none" w:pos="1079" w:val="left"/>
        </w:tabs>
        <w:numPr>
          <w:ilvl w:val="0"/>
          <w:numId w:val="76"/>
        </w:numPr>
        <w:rPr>
          <w:rFonts w:ascii="Arial" w:cs="Arial" w:eastAsia="Arial" w:hAnsi="Arial"/>
          <w:sz w:val="18"/>
          <w:szCs w:val="18"/>
          <w:color w:val="auto"/>
        </w:rPr>
      </w:pPr>
      <w:r>
        <w:rPr>
          <w:rFonts w:ascii="Arial" w:cs="Arial" w:eastAsia="Arial" w:hAnsi="Arial"/>
          <w:sz w:val="18"/>
          <w:szCs w:val="18"/>
          <w:color w:val="auto"/>
        </w:rPr>
        <w:t>Employee acknowledges and agrees that the Company is engaged in a highly competitive business and that by virtue of Employee’s position and responsibilities with the Company and Employee’s access to the Trade Secrets and Confidential Information, engaging in any business which is directly or indirectly competitive with the Company will cause it great and irreparable harm.</w:t>
      </w:r>
    </w:p>
    <w:p>
      <w:pPr>
        <w:spacing w:after="0" w:line="181" w:lineRule="exact"/>
        <w:rPr>
          <w:rFonts w:ascii="Arial" w:cs="Arial" w:eastAsia="Arial" w:hAnsi="Arial"/>
          <w:sz w:val="18"/>
          <w:szCs w:val="18"/>
          <w:color w:val="auto"/>
        </w:rPr>
      </w:pPr>
    </w:p>
    <w:p>
      <w:pPr>
        <w:jc w:val="both"/>
        <w:ind w:firstLine="656"/>
        <w:spacing w:after="0" w:line="254" w:lineRule="auto"/>
        <w:tabs>
          <w:tab w:leader="none" w:pos="1076"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Consequently, Employee covenants and agrees that so long as Employee is employed by the Company and for a period of one (1) year after such employment is terminated, whether voluntarily or involuntarily, Employee will not, without the express written consent of the Chief Executive Officer of the Company, directly or indirectly, be employed by, own, manage, operate, control, participate in, or be associated in any manner with the ownership, management, operation or control of any company or business engaged in the provision of commercial real estate information or software, or such other related businesses as the Company may become engaged during Employee’s employment with the Company. In recognition of the international nature of the Company’s business, this restriction shall apply anywhere in the United States, Canada and the United Kingdom. The Employee and Company specifically agree that such companies or businesses restricted by this Agreement currently include without limitation, LoopNet, Inc., PropertyFirst.com, RealtyIQ, and Black’s Guide.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sectPr>
      </w:pPr>
    </w:p>
    <w:bookmarkStart w:id="107" w:name="page108"/>
    <w:bookmarkEnd w:id="107"/>
    <w:p>
      <w:pPr>
        <w:jc w:val="both"/>
        <w:ind w:firstLine="656"/>
        <w:spacing w:after="0" w:line="312" w:lineRule="auto"/>
        <w:tabs>
          <w:tab w:leader="none" w:pos="1041" w:val="left"/>
        </w:tabs>
        <w:numPr>
          <w:ilvl w:val="0"/>
          <w:numId w:val="77"/>
        </w:numPr>
        <w:rPr>
          <w:rFonts w:ascii="Arial" w:cs="Arial" w:eastAsia="Arial" w:hAnsi="Arial"/>
          <w:sz w:val="16"/>
          <w:szCs w:val="16"/>
          <w:color w:val="auto"/>
        </w:rPr>
      </w:pPr>
      <w:r>
        <w:rPr>
          <w:rFonts w:ascii="Arial" w:cs="Arial" w:eastAsia="Arial" w:hAnsi="Arial"/>
          <w:sz w:val="16"/>
          <w:szCs w:val="16"/>
          <w:color w:val="auto"/>
        </w:rPr>
        <w:t>Employee represents and admits that upon cessation of Employee’s employment with the Company, Employee’s experience and capabilities are such that Employee can obtain employment with a new employer engaged in a different business or services different from that conducted by the Company, and the entry of an injunction to enforce the Duty of Non-Competition set forth herein shall not prevent Employee from earning a livelihood.</w:t>
      </w:r>
    </w:p>
    <w:p>
      <w:pPr>
        <w:spacing w:after="0" w:line="146" w:lineRule="exact"/>
        <w:rPr>
          <w:rFonts w:ascii="Arial" w:cs="Arial" w:eastAsia="Arial" w:hAnsi="Arial"/>
          <w:sz w:val="16"/>
          <w:szCs w:val="16"/>
          <w:color w:val="auto"/>
        </w:rPr>
      </w:pPr>
    </w:p>
    <w:p>
      <w:pPr>
        <w:ind w:firstLine="656"/>
        <w:spacing w:after="0" w:line="277" w:lineRule="auto"/>
        <w:tabs>
          <w:tab w:leader="none" w:pos="1032" w:val="left"/>
        </w:tabs>
        <w:numPr>
          <w:ilvl w:val="0"/>
          <w:numId w:val="77"/>
        </w:numPr>
        <w:rPr>
          <w:rFonts w:ascii="Arial" w:cs="Arial" w:eastAsia="Arial" w:hAnsi="Arial"/>
          <w:sz w:val="18"/>
          <w:szCs w:val="18"/>
          <w:color w:val="auto"/>
        </w:rPr>
      </w:pPr>
      <w:r>
        <w:rPr>
          <w:rFonts w:ascii="Arial" w:cs="Arial" w:eastAsia="Arial" w:hAnsi="Arial"/>
          <w:sz w:val="18"/>
          <w:szCs w:val="18"/>
          <w:color w:val="auto"/>
        </w:rPr>
        <w:t>Employee agrees that the Company may notify any person or entity employing Employee or evidencing an intent to employ Employee as to the existence and terms of this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3. Employee Work Product</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Disclosure of Work Product</w:t>
      </w:r>
      <w:r>
        <w:rPr>
          <w:rFonts w:ascii="Arial" w:cs="Arial" w:eastAsia="Arial" w:hAnsi="Arial"/>
          <w:sz w:val="16"/>
          <w:szCs w:val="16"/>
          <w:color w:val="auto"/>
        </w:rPr>
        <w:t>. Employee shall promptly and fully disclose to his or her supervisor any idea, invention, discovery, development, design, technique, improvement, plan, work of authorship, computer software, data information, enhancement, or other work product, whether tangible or intangible, developed by Employee, solely or jointly with others, during Employee’s employment with the Company (1) made with the Company's equipment, supplies, facilities, trade secrets, or time; or (2) that relate, at the time of conception or reduction to practice to the Company's business, or the Company’s actual or demonstrably anticipated research; or (3) result from any work performed by Employee for the Company (collectively the “Work Product”).</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Ownership of Work Product</w:t>
      </w:r>
      <w:r>
        <w:rPr>
          <w:rFonts w:ascii="Arial" w:cs="Arial" w:eastAsia="Arial" w:hAnsi="Arial"/>
          <w:sz w:val="18"/>
          <w:szCs w:val="18"/>
          <w:color w:val="auto"/>
        </w:rPr>
        <w:t>. All Work Product shall be conclusively deemed to be conceived, made, developed, reduced to practice, prepared, or otherwise created within the scope of Employee's employment and shall be the sole property of the Company. Employee hereby irrevocably assigns to the Company all right, title, and interest of whatever nature that Employee may have in the Work Product.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Employee’s Obligations</w:t>
      </w:r>
      <w:r>
        <w:rPr>
          <w:rFonts w:ascii="Arial" w:cs="Arial" w:eastAsia="Arial" w:hAnsi="Arial"/>
          <w:sz w:val="18"/>
          <w:szCs w:val="18"/>
          <w:color w:val="auto"/>
        </w:rPr>
        <w:t>. Employee shall, at the expense and on behalf of the Company, do all acts and things requested by the Company for the Company to obtain, establish, preserve, and protect the Company's rights and interests in the Work Product, including, but not limited to, preparing and signing such applications, papers, instruments, and other documents as the Company may deem necessary for it, or its nominee, to obtain and maintain patents, copyrights, trade secrets, trademarks, and service markings within the United States or elsewhere or both. Employee's obligations under this Section of this Agreement shall be in effect at all times while Employee is employed by the Company and for three years after Employee’s termination of employment with the Company.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4. Miscellaneous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Modification of Agreement</w:t>
      </w:r>
      <w:r>
        <w:rPr>
          <w:rFonts w:ascii="Arial" w:cs="Arial" w:eastAsia="Arial" w:hAnsi="Arial"/>
          <w:sz w:val="18"/>
          <w:szCs w:val="18"/>
          <w:color w:val="auto"/>
        </w:rPr>
        <w:t>. This Agreement may be modified only upon the written consent of both Employee and the Company, wherein specific reference is made to this Agreement.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constitutes the entire agreement between the parties. There are no agreements, understandings, restrictions, warranties, or representations between the parties relating to this subject matter other than those in this Agreement; provided, however, that in the event that this Agreement is declared illegal or unenforceable in its entirety, and only in the event of invalidation of this Agreement in its entirety, the prior agreement between the Company and Employee from </w:t>
      </w:r>
      <w:r>
        <w:rPr>
          <w:rFonts w:ascii="Arial" w:cs="Arial" w:eastAsia="Arial" w:hAnsi="Arial"/>
          <w:sz w:val="18"/>
          <w:szCs w:val="18"/>
          <w:b w:val="1"/>
          <w:bCs w:val="1"/>
          <w:color w:val="auto"/>
        </w:rPr>
        <w:t>October 3, 1994</w:t>
      </w:r>
      <w:r>
        <w:rPr>
          <w:rFonts w:ascii="Arial" w:cs="Arial" w:eastAsia="Arial" w:hAnsi="Arial"/>
          <w:sz w:val="18"/>
          <w:szCs w:val="18"/>
          <w:color w:val="auto"/>
        </w:rPr>
        <w:t xml:space="preserve"> shall remain in full force and effect and govern the relationship between the Company and Employee.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Separability</w:t>
      </w:r>
      <w:r>
        <w:rPr>
          <w:rFonts w:ascii="Arial" w:cs="Arial" w:eastAsia="Arial" w:hAnsi="Arial"/>
          <w:sz w:val="18"/>
          <w:szCs w:val="18"/>
          <w:color w:val="auto"/>
        </w:rPr>
        <w:t>. If any term or provision of this Agreement or any portion thereof is declared illegal or unenforceable by any court of competent jurisdiction, such provision or portion thereof shall be deemed modified so as to render it enforceable, and to the extent such provision or portion thereof cannot be rendered enforceable, this Agreement shall be considered divisible as to such provision which shall become null and void, leaving the remainder of this Agreement in full force and effect.</w:t>
      </w:r>
    </w:p>
    <w:p>
      <w:pPr>
        <w:spacing w:after="0" w:line="18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 xml:space="preserve">Governing Law. </w:t>
      </w:r>
      <w:r>
        <w:rPr>
          <w:rFonts w:ascii="Arial" w:cs="Arial" w:eastAsia="Arial" w:hAnsi="Arial"/>
          <w:sz w:val="16"/>
          <w:szCs w:val="16"/>
          <w:color w:val="auto"/>
        </w:rPr>
        <w:t>This Agreement shall be governed by the laws of Maryland, without reference to its conflicts of law provisions.</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 Employee agrees that the provisions contained in this Agreement shall survive any termination of Employee’s employment with the Company.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Assignment and Successors</w:t>
      </w:r>
      <w:r>
        <w:rPr>
          <w:rFonts w:ascii="Arial" w:cs="Arial" w:eastAsia="Arial" w:hAnsi="Arial"/>
          <w:sz w:val="18"/>
          <w:szCs w:val="18"/>
          <w:color w:val="auto"/>
        </w:rPr>
        <w:t>. Employee agrees that the terms of this Agreement shall inure to the benefit of and may be enforced by the Company and the Company's successors or assigns. Employee agrees that the terms of this Agreement shall be binding upon him or her and his or her executors, administrators, legatees, distributees, and other successors in interest.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Payment of Costs and Attorneys' Fees</w:t>
      </w:r>
      <w:r>
        <w:rPr>
          <w:rFonts w:ascii="Arial" w:cs="Arial" w:eastAsia="Arial" w:hAnsi="Arial"/>
          <w:sz w:val="18"/>
          <w:szCs w:val="18"/>
          <w:color w:val="auto"/>
        </w:rPr>
        <w:t>. A party who breaches the terms of this Agreement shall pay to the non-defaulting party all of the non-defaulting party's costs and expenses, including attorneys' fees, incurred in enforcing the terms of the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8" w:right="239" w:bottom="1440" w:gutter="0" w:footer="0" w:header="0"/>
        </w:sectPr>
      </w:pPr>
    </w:p>
    <w:bookmarkStart w:id="108" w:name="page109"/>
    <w:bookmarkEnd w:id="108"/>
    <w:p>
      <w:pPr>
        <w:jc w:val="both"/>
        <w:spacing w:after="0" w:line="27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Set-Off From Salary</w:t>
      </w:r>
      <w:r>
        <w:rPr>
          <w:rFonts w:ascii="Arial" w:cs="Arial" w:eastAsia="Arial" w:hAnsi="Arial"/>
          <w:sz w:val="18"/>
          <w:szCs w:val="18"/>
          <w:color w:val="auto"/>
        </w:rPr>
        <w:t>. Employee authorizes the Company set-off from any salary, wages, bonus or other monies owed to Employee any wages, travel expenses or other expenses or monies advanced to Employee, as permitted by law.</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Opportunity for Review by Employee's Outside Counsel</w:t>
      </w:r>
      <w:r>
        <w:rPr>
          <w:rFonts w:ascii="Arial" w:cs="Arial" w:eastAsia="Arial" w:hAnsi="Arial"/>
          <w:sz w:val="17"/>
          <w:szCs w:val="17"/>
          <w:color w:val="auto"/>
        </w:rPr>
        <w:t>. Employee acknowledges that he or she has read this Agreement in its entirety, and has had ample opportunity to have legal and financial counsel review the Agreement, explain its provisions, and provide appropriate advice.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Waiver of Breach</w:t>
      </w:r>
      <w:r>
        <w:rPr>
          <w:rFonts w:ascii="Arial" w:cs="Arial" w:eastAsia="Arial" w:hAnsi="Arial"/>
          <w:sz w:val="18"/>
          <w:szCs w:val="18"/>
          <w:color w:val="auto"/>
        </w:rPr>
        <w:t>. The waiver by either party of a breach of any provisions of this Agreement by the other shall not operate or be construed as a waiver of any subsequent breach. A delay or failure by either party to exercise a right under this Agreement, or a partial or single exercise of that right, shall not constitute a waiver of that or any other right.</w:t>
      </w:r>
    </w:p>
    <w:p>
      <w:pPr>
        <w:spacing w:after="0" w:line="18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u w:val="single" w:color="auto"/>
          <w:color w:val="auto"/>
        </w:rPr>
        <w:t>Arbitration of Controversies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70" w:lineRule="auto"/>
        <w:tabs>
          <w:tab w:leader="none" w:pos="1082"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When Arbitration is Required.</w:t>
      </w:r>
      <w:r>
        <w:rPr>
          <w:rFonts w:ascii="Arial" w:cs="Arial" w:eastAsia="Arial" w:hAnsi="Arial"/>
          <w:sz w:val="17"/>
          <w:szCs w:val="17"/>
          <w:color w:val="auto"/>
        </w:rPr>
        <w:t xml:space="preserve"> In the event of any dispute, claim or controversy cognizable in a court of law between the Company and the Employee concerning any aspect of the employment relationship, including disputes upon termination, the parties agree to submit such dispute to final and binding arbitration before a single arbitrator pursuant to the provisions of the American Arbitration Association’s Employment Dispute Resolution Procedures. The parties acknowledge that this obligation to arbitrate disputes applies to claims for discrimination or harassment under the Age Discrimination in Employment Act, Title VII of the Civil Rights Act of 1964, the Americans with Disabilities Act of 1990, Sections 1981 through 1988 of Title 42 of the United States Code, the Maryland Fair Employment Practice Act, Maryland Code Ann., Art. 49B, § 1 </w:t>
      </w:r>
      <w:r>
        <w:rPr>
          <w:rFonts w:ascii="Arial" w:cs="Arial" w:eastAsia="Arial" w:hAnsi="Arial"/>
          <w:sz w:val="17"/>
          <w:szCs w:val="17"/>
          <w:u w:val="single" w:color="auto"/>
          <w:color w:val="auto"/>
        </w:rPr>
        <w:t>et seq</w:t>
      </w:r>
      <w:r>
        <w:rPr>
          <w:rFonts w:ascii="Arial" w:cs="Arial" w:eastAsia="Arial" w:hAnsi="Arial"/>
          <w:sz w:val="17"/>
          <w:szCs w:val="17"/>
          <w:color w:val="auto"/>
        </w:rPr>
        <w:t>., as well as any other federal, state, or local law, ordinance, or regulation, or based on any public policy, contract, tort, or common law or any claim for costs, fees, or other expenses including attorney’s fees. All claims and defenses which could be raised before a government administrative agency or court must be raised in arbitration and the arbitrator shall apply the law accordingly.</w:t>
      </w:r>
    </w:p>
    <w:p>
      <w:pPr>
        <w:spacing w:after="0" w:line="182"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Notwithstanding the foregoing, Employee and the Company recognize and acknowledge each party’s right to request injunctive relief under appropriate circumstances from any court of competent jurisdiction, including but not limited to injunctive relief for any violations of Sections 1, 2 or 3 of this Agreement by Employee. The parties being desirous of having any disputes resolved in a forum having a substantial body of law and experience with the matters contained herein, the parties agree that any proceeding for injunctive relief shall be brought in the Circuit Court of Montgomery County, Maryland, or in the United States District Court for the District of Maryland and the parties agree to the jurisdiction thereof.</w:t>
      </w:r>
    </w:p>
    <w:p>
      <w:pPr>
        <w:spacing w:after="0" w:line="17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Employee and the Company further agree that this duty to arbitrate extends not only to disputes between Employee and the Company, but also to disputes between Employee and the Company's officers, directors, employees and agents that arise out of Employee's employment with the Company or the termination of that employment.</w:t>
      </w:r>
    </w:p>
    <w:p>
      <w:pPr>
        <w:spacing w:after="0" w:line="181" w:lineRule="exact"/>
        <w:rPr>
          <w:sz w:val="20"/>
          <w:szCs w:val="20"/>
          <w:color w:val="auto"/>
        </w:rPr>
      </w:pPr>
    </w:p>
    <w:p>
      <w:pPr>
        <w:jc w:val="both"/>
        <w:ind w:firstLine="656"/>
        <w:spacing w:after="0" w:line="286" w:lineRule="auto"/>
        <w:tabs>
          <w:tab w:leader="none" w:pos="1038"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Time for Demanding Arbitration.</w:t>
      </w:r>
      <w:r>
        <w:rPr>
          <w:rFonts w:ascii="Arial" w:cs="Arial" w:eastAsia="Arial" w:hAnsi="Arial"/>
          <w:sz w:val="17"/>
          <w:szCs w:val="17"/>
          <w:color w:val="auto"/>
        </w:rPr>
        <w:t xml:space="preserve"> Any demand for arbitration shall be made in writing and served upon the other party to this Agreement. Such demand shall be served no later than the expiration of the applicable statute of limitation period under governing law for such dispute(s). Absent express written agreement of the parties, this time period shall not be extended by virtue of informal attempts to resolve the dispute.</w:t>
      </w:r>
    </w:p>
    <w:p>
      <w:pPr>
        <w:spacing w:after="0" w:line="165" w:lineRule="exact"/>
        <w:rPr>
          <w:rFonts w:ascii="Arial" w:cs="Arial" w:eastAsia="Arial" w:hAnsi="Arial"/>
          <w:sz w:val="17"/>
          <w:szCs w:val="17"/>
          <w:color w:val="auto"/>
        </w:rPr>
      </w:pPr>
    </w:p>
    <w:p>
      <w:pPr>
        <w:ind w:firstLine="656"/>
        <w:spacing w:after="0" w:line="277" w:lineRule="auto"/>
        <w:tabs>
          <w:tab w:leader="none" w:pos="1068"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xml:space="preserve"> The arbitrator shall have the power to award any types of legal or equitable relief that would be available in a court of competent jurisdiction or administrative tribunal.</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Final and Binding Arbitration.</w:t>
      </w:r>
      <w:r>
        <w:rPr>
          <w:rFonts w:ascii="Arial" w:cs="Arial" w:eastAsia="Arial" w:hAnsi="Arial"/>
          <w:sz w:val="18"/>
          <w:szCs w:val="18"/>
          <w:color w:val="auto"/>
        </w:rPr>
        <w:t xml:space="preserve"> The decision of the arbitrator shall be final and binding on the parties.</w:t>
      </w:r>
    </w:p>
    <w:p>
      <w:pPr>
        <w:spacing w:after="0" w:line="225" w:lineRule="exact"/>
        <w:rPr>
          <w:rFonts w:ascii="Arial" w:cs="Arial" w:eastAsia="Arial" w:hAnsi="Arial"/>
          <w:sz w:val="18"/>
          <w:szCs w:val="18"/>
          <w:color w:val="auto"/>
        </w:rPr>
      </w:pPr>
    </w:p>
    <w:p>
      <w:pPr>
        <w:ind w:firstLine="656"/>
        <w:spacing w:after="0" w:line="277" w:lineRule="auto"/>
        <w:tabs>
          <w:tab w:leader="none" w:pos="1113"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No Deletion, Addition or Modification.</w:t>
      </w:r>
      <w:r>
        <w:rPr>
          <w:rFonts w:ascii="Arial" w:cs="Arial" w:eastAsia="Arial" w:hAnsi="Arial"/>
          <w:sz w:val="18"/>
          <w:szCs w:val="18"/>
          <w:color w:val="auto"/>
        </w:rPr>
        <w:t xml:space="preserve"> The arbitrator shall have no authority to add to, delete from, or modify in any way the provisions of this Agreement.</w:t>
      </w:r>
    </w:p>
    <w:p>
      <w:pPr>
        <w:spacing w:after="0" w:line="170" w:lineRule="exact"/>
        <w:rPr>
          <w:rFonts w:ascii="Arial" w:cs="Arial" w:eastAsia="Arial" w:hAnsi="Arial"/>
          <w:sz w:val="18"/>
          <w:szCs w:val="18"/>
          <w:color w:val="auto"/>
        </w:rPr>
      </w:pPr>
    </w:p>
    <w:p>
      <w:pPr>
        <w:ind w:left="1020" w:hanging="364"/>
        <w:spacing w:after="0"/>
        <w:tabs>
          <w:tab w:leader="none" w:pos="1020"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Costs of Arbitration.</w:t>
      </w:r>
      <w:r>
        <w:rPr>
          <w:rFonts w:ascii="Arial" w:cs="Arial" w:eastAsia="Arial" w:hAnsi="Arial"/>
          <w:sz w:val="17"/>
          <w:szCs w:val="17"/>
          <w:color w:val="auto"/>
        </w:rPr>
        <w:t xml:space="preserve"> The costs of commencing the arbitration and the remainder of the arbitration fees will be paid by the Company.</w:t>
      </w:r>
    </w:p>
    <w:p>
      <w:pPr>
        <w:spacing w:after="0" w:line="236" w:lineRule="exact"/>
        <w:rPr>
          <w:rFonts w:ascii="Arial" w:cs="Arial" w:eastAsia="Arial" w:hAnsi="Arial"/>
          <w:sz w:val="17"/>
          <w:szCs w:val="17"/>
          <w:color w:val="auto"/>
        </w:rPr>
      </w:pPr>
    </w:p>
    <w:p>
      <w:pPr>
        <w:ind w:firstLine="656"/>
        <w:spacing w:after="0" w:line="277" w:lineRule="auto"/>
        <w:tabs>
          <w:tab w:leader="none" w:pos="1065"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Place of Arbitration.</w:t>
      </w:r>
      <w:r>
        <w:rPr>
          <w:rFonts w:ascii="Arial" w:cs="Arial" w:eastAsia="Arial" w:hAnsi="Arial"/>
          <w:sz w:val="18"/>
          <w:szCs w:val="18"/>
          <w:color w:val="auto"/>
        </w:rPr>
        <w:t xml:space="preserve"> The arbitration hearing shall occur within the County in which the Company’s principal place of business is located, the County in which the conduct giving rise to the claim occurred, or as the arbitrator may otherwise order.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09" w:name="page110"/>
    <w:bookmarkEnd w:id="109"/>
    <w:p>
      <w:pPr>
        <w:jc w:val="both"/>
        <w:ind w:firstLine="656"/>
        <w:spacing w:after="0" w:line="276" w:lineRule="auto"/>
        <w:tabs>
          <w:tab w:leader="none" w:pos="1038"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Time to Consider or Revoke Agreement</w:t>
      </w:r>
      <w:r>
        <w:rPr>
          <w:rFonts w:ascii="Arial" w:cs="Arial" w:eastAsia="Arial" w:hAnsi="Arial"/>
          <w:sz w:val="17"/>
          <w:szCs w:val="17"/>
          <w:color w:val="auto"/>
        </w:rPr>
        <w:t>. Employee acknowledges that Employee’s acceptance of binding arbitration in this section 4.11 can be revoked any time within seven (7) days of his/her signing this Agreement, but such revocation must be submitted in writing and will result in his/her immediate termination and/or denial of consideration for employment. Employee further acknowledges that he/she has had at least 21 days to consider Section 4.11 Agreement and has decided to sign knowingly, voluntarily, and free from duress or coercion. Any revocation should be sent to Lauren Fitzgerald, Senior Director Human Resources, CoStar Realty Information, Inc., 2 Bethesda Metro Center, Bethesda, MD 20814.</w:t>
      </w:r>
    </w:p>
    <w:p>
      <w:pPr>
        <w:spacing w:after="0" w:line="172" w:lineRule="exact"/>
        <w:rPr>
          <w:rFonts w:ascii="Arial" w:cs="Arial" w:eastAsia="Arial" w:hAnsi="Arial"/>
          <w:sz w:val="17"/>
          <w:szCs w:val="17"/>
          <w:color w:val="auto"/>
        </w:rPr>
      </w:pPr>
    </w:p>
    <w:p>
      <w:pPr>
        <w:jc w:val="both"/>
        <w:ind w:firstLine="656"/>
        <w:spacing w:after="0" w:line="279" w:lineRule="auto"/>
        <w:tabs>
          <w:tab w:leader="none" w:pos="1106"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Waiver of Jury Trial.</w:t>
      </w:r>
      <w:r>
        <w:rPr>
          <w:rFonts w:ascii="Arial" w:cs="Arial" w:eastAsia="Arial" w:hAnsi="Arial"/>
          <w:sz w:val="17"/>
          <w:szCs w:val="17"/>
          <w:color w:val="auto"/>
        </w:rPr>
        <w:t xml:space="preserve"> Employee and the Company agree that if for any reason the arbitration provisions of this Agreement are declared unenforceable, they waive any right they may have to a jury trial with respect to any dispute or claim between them relating to any of the terms and conditions of this Agreement, Employee’s employment with or termination from employment with the Company, including, but not limited to, any of the claims enumerated in paragraph 4.11(a) of this Agreement, as well as claims arising or relating to any confidentiality agreement Employee may sign.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for the convenience of the parties, may be executed in any number of counterparts, all of which when taken together shall constitute one and the same Agreement.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given hereunder will be in writing, delivered personally or mailed by registered or certified mail, return receipt requested, or delivered by well-recognized overnight mail. If such notice is being delivered to the Employee, such notice shall be delivered to the address specified under such Employee’s signature on this Agreement, and if being delivered to the Company, delivered to 2 Bethesda Metro Center, Bethesda, Maryland 20814, Attention</w:t>
      </w:r>
      <w:r>
        <w:rPr>
          <w:rFonts w:ascii="Arial" w:cs="Arial" w:eastAsia="Arial" w:hAnsi="Arial"/>
          <w:sz w:val="18"/>
          <w:szCs w:val="18"/>
          <w:b w:val="1"/>
          <w:bCs w:val="1"/>
          <w:color w:val="auto"/>
        </w:rPr>
        <w:t>:</w:t>
      </w:r>
      <w:r>
        <w:rPr>
          <w:rFonts w:ascii="Arial" w:cs="Arial" w:eastAsia="Arial" w:hAnsi="Arial"/>
          <w:sz w:val="18"/>
          <w:szCs w:val="18"/>
          <w:color w:val="auto"/>
        </w:rPr>
        <w:t xml:space="preserve"> Lauren Fitzgerald, or to such other address as either party may specify to the other from time to time. All notices will be deemed given if delivered personally, on the day of delivery, if mailed by registered or certified mail, three days after the date of mailing, and if delivered by overnight mail, one day after mailing.</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Employee understands that by signing this Agreement, Employee agrees to resolve certain disputes with the Company by means of binding arbitration as set forth in paragraph 4.11, above.</w:t>
      </w:r>
    </w:p>
    <w:p>
      <w:pPr>
        <w:spacing w:after="0" w:line="200" w:lineRule="exact"/>
        <w:rPr>
          <w:sz w:val="20"/>
          <w:szCs w:val="20"/>
          <w:color w:val="auto"/>
        </w:rPr>
      </w:pPr>
    </w:p>
    <w:p>
      <w:pPr>
        <w:spacing w:after="0" w:line="344"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1920" w:type="dxa"/>
            <w:vAlign w:val="bottom"/>
          </w:tcPr>
          <w:p>
            <w:pPr>
              <w:spacing w:after="0"/>
              <w:rPr>
                <w:sz w:val="20"/>
                <w:szCs w:val="20"/>
                <w:color w:val="auto"/>
              </w:rPr>
            </w:pPr>
            <w:r>
              <w:rPr>
                <w:rFonts w:ascii="Arial" w:cs="Arial" w:eastAsia="Arial" w:hAnsi="Arial"/>
                <w:sz w:val="18"/>
                <w:szCs w:val="18"/>
                <w:color w:val="auto"/>
                <w:w w:val="98"/>
              </w:rPr>
              <w:t>Employee Name (Print):</w:t>
            </w:r>
          </w:p>
        </w:tc>
        <w:tc>
          <w:tcPr>
            <w:tcW w:w="1860" w:type="dxa"/>
            <w:vAlign w:val="bottom"/>
          </w:tcPr>
          <w:p>
            <w:pPr>
              <w:ind w:left="20"/>
              <w:spacing w:after="0"/>
              <w:rPr>
                <w:sz w:val="20"/>
                <w:szCs w:val="20"/>
                <w:color w:val="auto"/>
              </w:rPr>
            </w:pPr>
            <w:r>
              <w:rPr>
                <w:rFonts w:ascii="Arial" w:cs="Arial" w:eastAsia="Arial" w:hAnsi="Arial"/>
                <w:sz w:val="18"/>
                <w:szCs w:val="18"/>
                <w:color w:val="auto"/>
              </w:rPr>
              <w:t>Jennifer Kitchen</w:t>
            </w:r>
          </w:p>
        </w:tc>
        <w:tc>
          <w:tcPr>
            <w:tcW w:w="4000" w:type="dxa"/>
            <w:vAlign w:val="bottom"/>
            <w:gridSpan w:val="2"/>
          </w:tcPr>
          <w:p>
            <w:pPr>
              <w:ind w:left="500"/>
              <w:spacing w:after="0"/>
              <w:rPr>
                <w:sz w:val="20"/>
                <w:szCs w:val="20"/>
                <w:color w:val="auto"/>
              </w:rPr>
            </w:pPr>
            <w:r>
              <w:rPr>
                <w:rFonts w:ascii="Arial" w:cs="Arial" w:eastAsia="Arial" w:hAnsi="Arial"/>
                <w:sz w:val="18"/>
                <w:szCs w:val="18"/>
                <w:color w:val="auto"/>
              </w:rPr>
              <w:t>COSTAR REALTY INFORMATION, INC.</w:t>
            </w:r>
          </w:p>
        </w:tc>
      </w:tr>
      <w:tr>
        <w:trPr>
          <w:trHeight w:val="27"/>
        </w:trPr>
        <w:tc>
          <w:tcPr>
            <w:tcW w:w="192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37"/>
        </w:trPr>
        <w:tc>
          <w:tcPr>
            <w:tcW w:w="1920" w:type="dxa"/>
            <w:vAlign w:val="bottom"/>
          </w:tcPr>
          <w:p>
            <w:pPr>
              <w:spacing w:after="0"/>
              <w:rPr>
                <w:sz w:val="20"/>
                <w:szCs w:val="20"/>
                <w:color w:val="auto"/>
              </w:rPr>
            </w:pPr>
            <w:r>
              <w:rPr>
                <w:rFonts w:ascii="Arial" w:cs="Arial" w:eastAsia="Arial" w:hAnsi="Arial"/>
                <w:sz w:val="18"/>
                <w:szCs w:val="18"/>
                <w:color w:val="auto"/>
              </w:rPr>
              <w:t>Signature:</w:t>
            </w:r>
          </w:p>
        </w:tc>
        <w:tc>
          <w:tcPr>
            <w:tcW w:w="1860" w:type="dxa"/>
            <w:vAlign w:val="bottom"/>
          </w:tcPr>
          <w:p>
            <w:pPr>
              <w:ind w:left="20"/>
              <w:spacing w:after="0"/>
              <w:rPr>
                <w:sz w:val="20"/>
                <w:szCs w:val="20"/>
                <w:color w:val="auto"/>
              </w:rPr>
            </w:pPr>
            <w:r>
              <w:rPr>
                <w:rFonts w:ascii="Arial" w:cs="Arial" w:eastAsia="Arial" w:hAnsi="Arial"/>
                <w:sz w:val="18"/>
                <w:szCs w:val="18"/>
                <w:color w:val="auto"/>
              </w:rPr>
              <w:t>/s/ Jennifer L. Kitchen</w:t>
            </w:r>
          </w:p>
        </w:tc>
        <w:tc>
          <w:tcPr>
            <w:tcW w:w="1360" w:type="dxa"/>
            <w:vAlign w:val="bottom"/>
          </w:tcPr>
          <w:p>
            <w:pPr>
              <w:ind w:left="500"/>
              <w:spacing w:after="0"/>
              <w:rPr>
                <w:sz w:val="20"/>
                <w:szCs w:val="20"/>
                <w:color w:val="auto"/>
              </w:rPr>
            </w:pPr>
            <w:r>
              <w:rPr>
                <w:rFonts w:ascii="Arial" w:cs="Arial" w:eastAsia="Arial" w:hAnsi="Arial"/>
                <w:sz w:val="18"/>
                <w:szCs w:val="18"/>
                <w:color w:val="auto"/>
              </w:rPr>
              <w:t>By:</w:t>
            </w:r>
          </w:p>
        </w:tc>
        <w:tc>
          <w:tcPr>
            <w:tcW w:w="2640" w:type="dxa"/>
            <w:vAlign w:val="bottom"/>
          </w:tcPr>
          <w:p>
            <w:pPr>
              <w:ind w:left="20"/>
              <w:spacing w:after="0"/>
              <w:rPr>
                <w:sz w:val="20"/>
                <w:szCs w:val="20"/>
                <w:color w:val="auto"/>
              </w:rPr>
            </w:pPr>
            <w:r>
              <w:rPr>
                <w:rFonts w:ascii="Arial" w:cs="Arial" w:eastAsia="Arial" w:hAnsi="Arial"/>
                <w:sz w:val="18"/>
                <w:szCs w:val="18"/>
                <w:color w:val="auto"/>
              </w:rPr>
              <w:t>/s/ Carla J. Garrett</w:t>
            </w:r>
          </w:p>
        </w:tc>
      </w:tr>
      <w:tr>
        <w:trPr>
          <w:trHeight w:val="27"/>
        </w:trPr>
        <w:tc>
          <w:tcPr>
            <w:tcW w:w="192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37"/>
        </w:trPr>
        <w:tc>
          <w:tcPr>
            <w:tcW w:w="1920" w:type="dxa"/>
            <w:vAlign w:val="bottom"/>
          </w:tcPr>
          <w:p>
            <w:pPr>
              <w:spacing w:after="0"/>
              <w:rPr>
                <w:sz w:val="20"/>
                <w:szCs w:val="20"/>
                <w:color w:val="auto"/>
              </w:rPr>
            </w:pPr>
            <w:r>
              <w:rPr>
                <w:rFonts w:ascii="Arial" w:cs="Arial" w:eastAsia="Arial" w:hAnsi="Arial"/>
                <w:sz w:val="18"/>
                <w:szCs w:val="18"/>
                <w:color w:val="auto"/>
              </w:rPr>
              <w:t>Address:</w:t>
            </w:r>
          </w:p>
        </w:tc>
        <w:tc>
          <w:tcPr>
            <w:tcW w:w="1860" w:type="dxa"/>
            <w:vAlign w:val="bottom"/>
          </w:tcPr>
          <w:p>
            <w:pPr>
              <w:spacing w:after="0"/>
              <w:rPr>
                <w:sz w:val="20"/>
                <w:szCs w:val="20"/>
                <w:color w:val="auto"/>
              </w:rPr>
            </w:pPr>
          </w:p>
        </w:tc>
        <w:tc>
          <w:tcPr>
            <w:tcW w:w="1360" w:type="dxa"/>
            <w:vAlign w:val="bottom"/>
          </w:tcPr>
          <w:p>
            <w:pPr>
              <w:ind w:left="500"/>
              <w:spacing w:after="0"/>
              <w:rPr>
                <w:sz w:val="20"/>
                <w:szCs w:val="20"/>
                <w:color w:val="auto"/>
              </w:rPr>
            </w:pPr>
            <w:r>
              <w:rPr>
                <w:rFonts w:ascii="Arial" w:cs="Arial" w:eastAsia="Arial" w:hAnsi="Arial"/>
                <w:sz w:val="18"/>
                <w:szCs w:val="18"/>
                <w:color w:val="auto"/>
              </w:rPr>
              <w:t>Name:</w:t>
            </w:r>
          </w:p>
        </w:tc>
        <w:tc>
          <w:tcPr>
            <w:tcW w:w="2640" w:type="dxa"/>
            <w:vAlign w:val="bottom"/>
          </w:tcPr>
          <w:p>
            <w:pPr>
              <w:ind w:left="20"/>
              <w:spacing w:after="0"/>
              <w:rPr>
                <w:sz w:val="20"/>
                <w:szCs w:val="20"/>
                <w:color w:val="auto"/>
              </w:rPr>
            </w:pPr>
            <w:r>
              <w:rPr>
                <w:rFonts w:ascii="Arial" w:cs="Arial" w:eastAsia="Arial" w:hAnsi="Arial"/>
                <w:sz w:val="18"/>
                <w:szCs w:val="18"/>
                <w:color w:val="auto"/>
              </w:rPr>
              <w:t>Carla Garrett</w:t>
            </w:r>
          </w:p>
        </w:tc>
      </w:tr>
      <w:tr>
        <w:trPr>
          <w:trHeight w:val="27"/>
        </w:trPr>
        <w:tc>
          <w:tcPr>
            <w:tcW w:w="192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37"/>
        </w:trPr>
        <w:tc>
          <w:tcPr>
            <w:tcW w:w="1920" w:type="dxa"/>
            <w:vAlign w:val="bottom"/>
          </w:tcPr>
          <w:p>
            <w:pPr>
              <w:spacing w:after="0"/>
              <w:rPr>
                <w:sz w:val="20"/>
                <w:szCs w:val="20"/>
                <w:color w:val="auto"/>
              </w:rPr>
            </w:pPr>
            <w:r>
              <w:rPr>
                <w:rFonts w:ascii="Arial" w:cs="Arial" w:eastAsia="Arial" w:hAnsi="Arial"/>
                <w:sz w:val="18"/>
                <w:szCs w:val="18"/>
                <w:color w:val="auto"/>
              </w:rPr>
              <w:t>Phone number:</w:t>
            </w:r>
          </w:p>
        </w:tc>
        <w:tc>
          <w:tcPr>
            <w:tcW w:w="1860" w:type="dxa"/>
            <w:vAlign w:val="bottom"/>
          </w:tcPr>
          <w:p>
            <w:pPr>
              <w:spacing w:after="0"/>
              <w:rPr>
                <w:sz w:val="20"/>
                <w:szCs w:val="20"/>
                <w:color w:val="auto"/>
              </w:rPr>
            </w:pPr>
          </w:p>
        </w:tc>
        <w:tc>
          <w:tcPr>
            <w:tcW w:w="1360" w:type="dxa"/>
            <w:vAlign w:val="bottom"/>
          </w:tcPr>
          <w:p>
            <w:pPr>
              <w:ind w:left="500"/>
              <w:spacing w:after="0"/>
              <w:rPr>
                <w:sz w:val="20"/>
                <w:szCs w:val="20"/>
                <w:color w:val="auto"/>
              </w:rPr>
            </w:pPr>
            <w:r>
              <w:rPr>
                <w:rFonts w:ascii="Arial" w:cs="Arial" w:eastAsia="Arial" w:hAnsi="Arial"/>
                <w:sz w:val="18"/>
                <w:szCs w:val="18"/>
                <w:color w:val="auto"/>
              </w:rPr>
              <w:t>Title:</w:t>
            </w:r>
          </w:p>
        </w:tc>
        <w:tc>
          <w:tcPr>
            <w:tcW w:w="2640" w:type="dxa"/>
            <w:vAlign w:val="bottom"/>
          </w:tcPr>
          <w:p>
            <w:pPr>
              <w:ind w:left="20"/>
              <w:spacing w:after="0"/>
              <w:rPr>
                <w:sz w:val="20"/>
                <w:szCs w:val="20"/>
                <w:color w:val="auto"/>
              </w:rPr>
            </w:pPr>
            <w:r>
              <w:rPr>
                <w:rFonts w:ascii="Arial" w:cs="Arial" w:eastAsia="Arial" w:hAnsi="Arial"/>
                <w:sz w:val="18"/>
                <w:szCs w:val="18"/>
                <w:color w:val="auto"/>
              </w:rPr>
              <w:t>General Counsel</w:t>
            </w:r>
          </w:p>
        </w:tc>
      </w:tr>
      <w:tr>
        <w:trPr>
          <w:trHeight w:val="27"/>
        </w:trPr>
        <w:tc>
          <w:tcPr>
            <w:tcW w:w="192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37"/>
        </w:trPr>
        <w:tc>
          <w:tcPr>
            <w:tcW w:w="1920" w:type="dxa"/>
            <w:vAlign w:val="bottom"/>
          </w:tcPr>
          <w:p>
            <w:pPr>
              <w:spacing w:after="0"/>
              <w:rPr>
                <w:sz w:val="20"/>
                <w:szCs w:val="20"/>
                <w:color w:val="auto"/>
              </w:rPr>
            </w:pPr>
            <w:r>
              <w:rPr>
                <w:rFonts w:ascii="Arial" w:cs="Arial" w:eastAsia="Arial" w:hAnsi="Arial"/>
                <w:sz w:val="18"/>
                <w:szCs w:val="18"/>
                <w:color w:val="auto"/>
              </w:rPr>
              <w:t>Date:</w:t>
            </w:r>
          </w:p>
        </w:tc>
        <w:tc>
          <w:tcPr>
            <w:tcW w:w="1860" w:type="dxa"/>
            <w:vAlign w:val="bottom"/>
          </w:tcPr>
          <w:p>
            <w:pPr>
              <w:ind w:left="20"/>
              <w:spacing w:after="0"/>
              <w:rPr>
                <w:sz w:val="20"/>
                <w:szCs w:val="20"/>
                <w:color w:val="auto"/>
              </w:rPr>
            </w:pPr>
            <w:r>
              <w:rPr>
                <w:rFonts w:ascii="Arial" w:cs="Arial" w:eastAsia="Arial" w:hAnsi="Arial"/>
                <w:sz w:val="18"/>
                <w:szCs w:val="18"/>
                <w:color w:val="auto"/>
              </w:rPr>
              <w:t>March 6, 2001</w:t>
            </w:r>
          </w:p>
        </w:tc>
        <w:tc>
          <w:tcPr>
            <w:tcW w:w="1360" w:type="dxa"/>
            <w:vAlign w:val="bottom"/>
          </w:tcPr>
          <w:p>
            <w:pPr>
              <w:ind w:left="500"/>
              <w:spacing w:after="0"/>
              <w:rPr>
                <w:sz w:val="20"/>
                <w:szCs w:val="20"/>
                <w:color w:val="auto"/>
              </w:rPr>
            </w:pPr>
            <w:r>
              <w:rPr>
                <w:rFonts w:ascii="Arial" w:cs="Arial" w:eastAsia="Arial" w:hAnsi="Arial"/>
                <w:sz w:val="18"/>
                <w:szCs w:val="18"/>
                <w:color w:val="auto"/>
              </w:rPr>
              <w:t>Date:</w:t>
            </w:r>
          </w:p>
        </w:tc>
        <w:tc>
          <w:tcPr>
            <w:tcW w:w="2640" w:type="dxa"/>
            <w:vAlign w:val="bottom"/>
          </w:tcPr>
          <w:p>
            <w:pPr>
              <w:ind w:left="20"/>
              <w:spacing w:after="0"/>
              <w:rPr>
                <w:sz w:val="20"/>
                <w:szCs w:val="20"/>
                <w:color w:val="auto"/>
              </w:rPr>
            </w:pPr>
            <w:r>
              <w:rPr>
                <w:rFonts w:ascii="Arial" w:cs="Arial" w:eastAsia="Arial" w:hAnsi="Arial"/>
                <w:sz w:val="18"/>
                <w:szCs w:val="18"/>
                <w:color w:val="auto"/>
              </w:rPr>
              <w:t>March 6, 2001</w:t>
            </w:r>
          </w:p>
        </w:tc>
      </w:tr>
      <w:tr>
        <w:trPr>
          <w:trHeight w:val="27"/>
        </w:trPr>
        <w:tc>
          <w:tcPr>
            <w:tcW w:w="192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8" w:right="23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u w:val="single" w:color="auto"/>
          <w:color w:val="auto"/>
        </w:rPr>
        <w:t>EXHIBIT B</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Director of Research Integration will prepare a detailed document that describes how CoStar’s Research organization will best meet the needs of CoStar’s customers through enhanced automation, processes and integration of its acquisitions (e.g., LoopNet and PPR) into its data acquisition process. Taking into account CoStar’s growth strategy, the position will require the incumbent to document the current Research organizational structure and processes, the future state of the organization and processes and a fully developed plan of how the organization would transition to the future state. In addition, the incumbent should document the roles and responsibilities for any new roles or key roles that would change in the new Research model.</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The position reports to Frank Carchedi, Interim SVP, Research, and would work from home and be available for consultation with the Interim SVP.</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p>
      <w:pPr>
        <w:jc w:val="center"/>
        <w:ind w:right="213"/>
        <w:spacing w:after="0"/>
        <w:rPr>
          <w:sz w:val="20"/>
          <w:szCs w:val="20"/>
          <w:color w:val="auto"/>
        </w:rPr>
      </w:pPr>
      <w:r>
        <w:rPr>
          <w:rFonts w:ascii="Arial" w:cs="Arial" w:eastAsia="Arial" w:hAnsi="Arial"/>
          <w:sz w:val="18"/>
          <w:szCs w:val="18"/>
          <w:b w:val="1"/>
          <w:bCs w:val="1"/>
          <w:color w:val="auto"/>
        </w:rPr>
        <w:t>SUBSIDIARIES OF THE REGISTRANT</w:t>
      </w:r>
    </w:p>
    <w:p>
      <w:pPr>
        <w:spacing w:after="0" w:line="200" w:lineRule="exact"/>
        <w:rPr>
          <w:sz w:val="20"/>
          <w:szCs w:val="20"/>
          <w:color w:val="auto"/>
        </w:rPr>
      </w:pPr>
    </w:p>
    <w:p>
      <w:pPr>
        <w:spacing w:after="0" w:line="245" w:lineRule="exact"/>
        <w:rPr>
          <w:sz w:val="20"/>
          <w:szCs w:val="20"/>
          <w:color w:val="auto"/>
        </w:rPr>
      </w:pPr>
    </w:p>
    <w:p>
      <w:pPr>
        <w:ind w:left="187" w:hanging="187"/>
        <w:spacing w:after="0"/>
        <w:tabs>
          <w:tab w:leader="none" w:pos="187"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CoStar Realty Information, Inc., a Delaware corporation</w:t>
      </w:r>
    </w:p>
    <w:p>
      <w:pPr>
        <w:spacing w:after="0" w:line="225" w:lineRule="exact"/>
        <w:rPr>
          <w:rFonts w:ascii="Arial" w:cs="Arial" w:eastAsia="Arial" w:hAnsi="Arial"/>
          <w:sz w:val="18"/>
          <w:szCs w:val="18"/>
          <w:color w:val="auto"/>
        </w:rPr>
      </w:pPr>
    </w:p>
    <w:p>
      <w:pPr>
        <w:ind w:left="187" w:hanging="187"/>
        <w:spacing w:after="0"/>
        <w:tabs>
          <w:tab w:leader="none" w:pos="187"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CoStar Limited, a U.K. company</w:t>
      </w:r>
    </w:p>
    <w:p>
      <w:pPr>
        <w:spacing w:after="0" w:line="225" w:lineRule="exact"/>
        <w:rPr>
          <w:rFonts w:ascii="Arial" w:cs="Arial" w:eastAsia="Arial" w:hAnsi="Arial"/>
          <w:sz w:val="18"/>
          <w:szCs w:val="18"/>
          <w:color w:val="auto"/>
        </w:rPr>
      </w:pPr>
    </w:p>
    <w:p>
      <w:pPr>
        <w:ind w:left="187" w:hanging="187"/>
        <w:spacing w:after="0"/>
        <w:tabs>
          <w:tab w:leader="none" w:pos="187"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CoStar UK Limited, a U.K. company</w:t>
      </w:r>
    </w:p>
    <w:p>
      <w:pPr>
        <w:spacing w:after="0" w:line="225" w:lineRule="exact"/>
        <w:rPr>
          <w:rFonts w:ascii="Arial" w:cs="Arial" w:eastAsia="Arial" w:hAnsi="Arial"/>
          <w:sz w:val="18"/>
          <w:szCs w:val="18"/>
          <w:color w:val="auto"/>
        </w:rPr>
      </w:pPr>
    </w:p>
    <w:p>
      <w:pPr>
        <w:ind w:left="207" w:hanging="202"/>
        <w:spacing w:after="0"/>
        <w:tabs>
          <w:tab w:leader="none" w:pos="207" w:val="left"/>
        </w:tabs>
        <w:numPr>
          <w:ilvl w:val="0"/>
          <w:numId w:val="81"/>
        </w:numPr>
        <w:rPr>
          <w:rFonts w:ascii="Arial" w:cs="Arial" w:eastAsia="Arial" w:hAnsi="Arial"/>
          <w:sz w:val="18"/>
          <w:szCs w:val="18"/>
          <w:color w:val="auto"/>
        </w:rPr>
      </w:pPr>
      <w:r>
        <w:rPr>
          <w:rFonts w:ascii="Arial" w:cs="Arial" w:eastAsia="Arial" w:hAnsi="Arial"/>
          <w:sz w:val="18"/>
          <w:szCs w:val="18"/>
          <w:color w:val="auto"/>
        </w:rPr>
        <w:t>Grecam S.A.S., a France Societée par Actions Simplifiée</w:t>
      </w:r>
    </w:p>
    <w:p>
      <w:pPr>
        <w:spacing w:after="0" w:line="225" w:lineRule="exact"/>
        <w:rPr>
          <w:rFonts w:ascii="Arial" w:cs="Arial" w:eastAsia="Arial" w:hAnsi="Arial"/>
          <w:sz w:val="18"/>
          <w:szCs w:val="18"/>
          <w:color w:val="auto"/>
        </w:rPr>
      </w:pPr>
    </w:p>
    <w:p>
      <w:pPr>
        <w:ind w:left="187" w:hanging="182"/>
        <w:spacing w:after="0"/>
        <w:tabs>
          <w:tab w:leader="none" w:pos="187"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Property and Portfolio Research, Inc., a Delaware corporation</w:t>
      </w:r>
    </w:p>
    <w:p>
      <w:pPr>
        <w:spacing w:after="0" w:line="225" w:lineRule="exact"/>
        <w:rPr>
          <w:rFonts w:ascii="Arial" w:cs="Arial" w:eastAsia="Arial" w:hAnsi="Arial"/>
          <w:sz w:val="18"/>
          <w:szCs w:val="18"/>
          <w:color w:val="auto"/>
        </w:rPr>
      </w:pPr>
    </w:p>
    <w:p>
      <w:pPr>
        <w:ind w:left="167" w:hanging="162"/>
        <w:spacing w:after="0"/>
        <w:tabs>
          <w:tab w:leader="none" w:pos="167"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Property and Portfolio Research Ltd., a U.K. company</w:t>
      </w:r>
    </w:p>
    <w:p>
      <w:pPr>
        <w:spacing w:after="0" w:line="225" w:lineRule="exact"/>
        <w:rPr>
          <w:rFonts w:ascii="Arial" w:cs="Arial" w:eastAsia="Arial" w:hAnsi="Arial"/>
          <w:sz w:val="18"/>
          <w:szCs w:val="18"/>
          <w:color w:val="auto"/>
        </w:rPr>
      </w:pPr>
    </w:p>
    <w:p>
      <w:pPr>
        <w:ind w:left="207" w:hanging="202"/>
        <w:spacing w:after="0"/>
        <w:tabs>
          <w:tab w:leader="none" w:pos="207"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Resolve Technology, Inc., a Delaware corporation</w:t>
      </w:r>
    </w:p>
    <w:p>
      <w:pPr>
        <w:spacing w:after="0" w:line="225" w:lineRule="exact"/>
        <w:rPr>
          <w:rFonts w:ascii="Arial" w:cs="Arial" w:eastAsia="Arial" w:hAnsi="Arial"/>
          <w:sz w:val="18"/>
          <w:szCs w:val="18"/>
          <w:color w:val="auto"/>
        </w:rPr>
      </w:pPr>
    </w:p>
    <w:p>
      <w:pPr>
        <w:ind w:left="207" w:hanging="202"/>
        <w:spacing w:after="0"/>
        <w:tabs>
          <w:tab w:leader="none" w:pos="207" w:val="left"/>
        </w:tabs>
        <w:numPr>
          <w:ilvl w:val="0"/>
          <w:numId w:val="81"/>
        </w:numPr>
        <w:rPr>
          <w:rFonts w:ascii="Arial" w:cs="Arial" w:eastAsia="Arial" w:hAnsi="Arial"/>
          <w:sz w:val="18"/>
          <w:szCs w:val="18"/>
          <w:color w:val="auto"/>
        </w:rPr>
      </w:pPr>
      <w:r>
        <w:rPr>
          <w:rFonts w:ascii="Arial" w:cs="Arial" w:eastAsia="Arial" w:hAnsi="Arial"/>
          <w:sz w:val="18"/>
          <w:szCs w:val="18"/>
          <w:color w:val="auto"/>
        </w:rPr>
        <w:t>VirtualPremise, Inc., a Delaware corporation</w:t>
      </w:r>
    </w:p>
    <w:p>
      <w:pPr>
        <w:spacing w:after="0" w:line="225" w:lineRule="exact"/>
        <w:rPr>
          <w:rFonts w:ascii="Arial" w:cs="Arial" w:eastAsia="Arial" w:hAnsi="Arial"/>
          <w:sz w:val="18"/>
          <w:szCs w:val="18"/>
          <w:color w:val="auto"/>
        </w:rPr>
      </w:pPr>
    </w:p>
    <w:p>
      <w:pPr>
        <w:ind w:left="167" w:hanging="162"/>
        <w:spacing w:after="0"/>
        <w:tabs>
          <w:tab w:leader="none" w:pos="167" w:val="left"/>
        </w:tabs>
        <w:numPr>
          <w:ilvl w:val="0"/>
          <w:numId w:val="81"/>
        </w:numPr>
        <w:rPr>
          <w:rFonts w:ascii="Arial" w:cs="Arial" w:eastAsia="Arial" w:hAnsi="Arial"/>
          <w:sz w:val="18"/>
          <w:szCs w:val="18"/>
          <w:color w:val="auto"/>
        </w:rPr>
      </w:pPr>
      <w:r>
        <w:rPr>
          <w:rFonts w:ascii="Arial" w:cs="Arial" w:eastAsia="Arial" w:hAnsi="Arial"/>
          <w:sz w:val="18"/>
          <w:szCs w:val="18"/>
          <w:color w:val="auto"/>
        </w:rPr>
        <w:t>LoopNet, Inc. a Delaware corporation</w:t>
      </w:r>
    </w:p>
    <w:p>
      <w:pPr>
        <w:spacing w:after="0" w:line="225" w:lineRule="exact"/>
        <w:rPr>
          <w:rFonts w:ascii="Arial" w:cs="Arial" w:eastAsia="Arial" w:hAnsi="Arial"/>
          <w:sz w:val="18"/>
          <w:szCs w:val="18"/>
          <w:color w:val="auto"/>
        </w:rPr>
      </w:pPr>
    </w:p>
    <w:p>
      <w:pPr>
        <w:ind w:left="167" w:hanging="162"/>
        <w:spacing w:after="0"/>
        <w:tabs>
          <w:tab w:leader="none" w:pos="167"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REApplications, Inc., a Delaware corporation</w:t>
      </w:r>
    </w:p>
    <w:p>
      <w:pPr>
        <w:spacing w:after="0" w:line="225" w:lineRule="exact"/>
        <w:rPr>
          <w:rFonts w:ascii="Arial" w:cs="Arial" w:eastAsia="Arial" w:hAnsi="Arial"/>
          <w:sz w:val="18"/>
          <w:szCs w:val="18"/>
          <w:color w:val="auto"/>
        </w:rPr>
      </w:pPr>
    </w:p>
    <w:p>
      <w:pPr>
        <w:ind w:left="207" w:hanging="202"/>
        <w:spacing w:after="0"/>
        <w:tabs>
          <w:tab w:leader="none" w:pos="207"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CoStar Realty Information Canada Ltd., a British Columbia company</w:t>
      </w:r>
    </w:p>
    <w:p>
      <w:pPr>
        <w:spacing w:after="0" w:line="225" w:lineRule="exact"/>
        <w:rPr>
          <w:rFonts w:ascii="Arial" w:cs="Arial" w:eastAsia="Arial" w:hAnsi="Arial"/>
          <w:sz w:val="18"/>
          <w:szCs w:val="18"/>
          <w:color w:val="auto"/>
        </w:rPr>
      </w:pPr>
    </w:p>
    <w:p>
      <w:pPr>
        <w:ind w:left="167" w:hanging="162"/>
        <w:spacing w:after="0"/>
        <w:tabs>
          <w:tab w:leader="none" w:pos="167"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CoStar International LLC., a Delaware company</w:t>
      </w:r>
    </w:p>
    <w:p>
      <w:pPr>
        <w:sectPr>
          <w:pgSz w:w="11900" w:h="16838" w:orient="portrait"/>
          <w:cols w:equalWidth="0" w:num="1">
            <w:col w:w="11187"/>
          </w:cols>
          <w:pgMar w:left="473" w:top="121"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387" w:lineRule="exact"/>
        <w:rPr>
          <w:sz w:val="20"/>
          <w:szCs w:val="20"/>
          <w:color w:val="auto"/>
        </w:rPr>
      </w:pPr>
    </w:p>
    <w:p>
      <w:pPr>
        <w:ind w:left="960" w:hanging="291"/>
        <w:spacing w:after="0"/>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Registration Statement Number 333-82599 on Form S-8 pertaining to the Realty Information Group, Inc. 1998 Stock Incentive Plan,</w:t>
      </w:r>
    </w:p>
    <w:p>
      <w:pPr>
        <w:spacing w:after="0" w:line="279" w:lineRule="exact"/>
        <w:rPr>
          <w:rFonts w:ascii="Arial" w:cs="Arial" w:eastAsia="Arial" w:hAnsi="Arial"/>
          <w:sz w:val="18"/>
          <w:szCs w:val="18"/>
          <w:color w:val="auto"/>
        </w:rPr>
      </w:pPr>
    </w:p>
    <w:p>
      <w:pPr>
        <w:ind w:left="960" w:hanging="291"/>
        <w:spacing w:after="0"/>
        <w:tabs>
          <w:tab w:leader="none" w:pos="9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Registration Statement Number 333-92165 on Form S-8 pertaining to the CoStar Group, Inc. 1998 Stock Incentive Plan, as amended,</w:t>
      </w:r>
    </w:p>
    <w:p>
      <w:pPr>
        <w:spacing w:after="0" w:line="74" w:lineRule="exact"/>
        <w:rPr>
          <w:rFonts w:ascii="Arial" w:cs="Arial" w:eastAsia="Arial" w:hAnsi="Arial"/>
          <w:sz w:val="17"/>
          <w:szCs w:val="17"/>
          <w:color w:val="auto"/>
        </w:rPr>
      </w:pPr>
    </w:p>
    <w:p>
      <w:pPr>
        <w:ind w:left="960" w:hanging="291"/>
        <w:spacing w:after="0"/>
        <w:tabs>
          <w:tab w:leader="none" w:pos="9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Registration Statement Number 333-45770 on Form S-8 pertaining to the CoStar Group, Inc. 1998 Stock Incentive Plan, as amended,</w:t>
      </w:r>
    </w:p>
    <w:p>
      <w:pPr>
        <w:spacing w:after="0" w:line="290" w:lineRule="exact"/>
        <w:rPr>
          <w:rFonts w:ascii="Arial" w:cs="Arial" w:eastAsia="Arial" w:hAnsi="Arial"/>
          <w:sz w:val="17"/>
          <w:szCs w:val="17"/>
          <w:color w:val="auto"/>
        </w:rPr>
      </w:pPr>
    </w:p>
    <w:p>
      <w:pPr>
        <w:ind w:left="960" w:hanging="291"/>
        <w:spacing w:after="0"/>
        <w:tabs>
          <w:tab w:leader="none" w:pos="9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Registration Statement Number 333-69548 on Form S-8 pertaining to the CoStar Group, Inc. 1998 Stock Incentive Plan, as amended,</w:t>
      </w:r>
    </w:p>
    <w:p>
      <w:pPr>
        <w:spacing w:after="0" w:line="290" w:lineRule="exact"/>
        <w:rPr>
          <w:rFonts w:ascii="Arial" w:cs="Arial" w:eastAsia="Arial" w:hAnsi="Arial"/>
          <w:sz w:val="17"/>
          <w:szCs w:val="17"/>
          <w:color w:val="auto"/>
        </w:rPr>
      </w:pPr>
    </w:p>
    <w:p>
      <w:pPr>
        <w:ind w:left="960" w:hanging="291"/>
        <w:spacing w:after="0"/>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Registration Statement Number 333-135709 on Form S-8 pertaining to the CoStar Group, Inc. Employee Stock Purchase Plan,</w:t>
      </w:r>
    </w:p>
    <w:p>
      <w:pPr>
        <w:spacing w:after="0" w:line="279" w:lineRule="exact"/>
        <w:rPr>
          <w:rFonts w:ascii="Arial" w:cs="Arial" w:eastAsia="Arial" w:hAnsi="Arial"/>
          <w:sz w:val="18"/>
          <w:szCs w:val="18"/>
          <w:color w:val="auto"/>
        </w:rPr>
      </w:pPr>
    </w:p>
    <w:p>
      <w:pPr>
        <w:ind w:left="960" w:hanging="291"/>
        <w:spacing w:after="0"/>
        <w:tabs>
          <w:tab w:leader="none" w:pos="9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Registration Statement Number 333-143968 on Form S-8 pertaining to the CoStar Group, Inc. 2007 Stock Incentive Plan, as amended,</w:t>
      </w:r>
    </w:p>
    <w:p>
      <w:pPr>
        <w:spacing w:after="0" w:line="290" w:lineRule="exact"/>
        <w:rPr>
          <w:rFonts w:ascii="Arial" w:cs="Arial" w:eastAsia="Arial" w:hAnsi="Arial"/>
          <w:sz w:val="17"/>
          <w:szCs w:val="17"/>
          <w:color w:val="auto"/>
        </w:rPr>
      </w:pPr>
    </w:p>
    <w:p>
      <w:pPr>
        <w:ind w:left="960" w:hanging="291"/>
        <w:spacing w:after="0"/>
        <w:tabs>
          <w:tab w:leader="none" w:pos="9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Registration Statement Number 333-167424 on Form S-8 pertaining to the CoStar Group, Inc. 2007 Stock Incentive Plan, as amended,</w:t>
      </w:r>
    </w:p>
    <w:p>
      <w:pPr>
        <w:spacing w:after="0" w:line="290" w:lineRule="exact"/>
        <w:rPr>
          <w:rFonts w:ascii="Arial" w:cs="Arial" w:eastAsia="Arial" w:hAnsi="Arial"/>
          <w:sz w:val="17"/>
          <w:szCs w:val="17"/>
          <w:color w:val="auto"/>
        </w:rPr>
      </w:pPr>
    </w:p>
    <w:p>
      <w:pPr>
        <w:ind w:left="960" w:hanging="291"/>
        <w:spacing w:after="0"/>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Registration Statement Number 333-174407 on Form S-3 of CoStar Group, Inc., and</w:t>
      </w:r>
    </w:p>
    <w:p>
      <w:pPr>
        <w:spacing w:after="0" w:line="63" w:lineRule="exact"/>
        <w:rPr>
          <w:rFonts w:ascii="Arial" w:cs="Arial" w:eastAsia="Arial" w:hAnsi="Arial"/>
          <w:sz w:val="18"/>
          <w:szCs w:val="18"/>
          <w:color w:val="auto"/>
        </w:rPr>
      </w:pPr>
    </w:p>
    <w:p>
      <w:pPr>
        <w:ind w:left="960" w:hanging="291"/>
        <w:spacing w:after="0"/>
        <w:tabs>
          <w:tab w:leader="none" w:pos="9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Registration Statement Number 333-182377 on Form S-8 pertaining to the CoStar Group, Inc. 2007 Stock Incentive Plan, as amended;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reports dated February 20, 2014, with respect to the consolidated financial statements and schedule of CoStar Group, Inc. and the effectiveness of internal control over financial reporting of CoStar Group, Inc. included in this Annual Report (Form 10-K) of CoStar Group, Inc. for the year ended December 31, 2013.</w:t>
      </w: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2014</w:t>
      </w:r>
    </w:p>
    <w:p>
      <w:pPr>
        <w:sectPr>
          <w:pgSz w:w="11900" w:h="16838" w:orient="portrait"/>
          <w:cols w:equalWidth="0" w:num="1">
            <w:col w:w="11420"/>
          </w:cols>
          <w:pgMar w:left="240" w:top="121"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Andrew C. Florance, certify that:</w:t>
      </w:r>
    </w:p>
    <w:p>
      <w:pPr>
        <w:spacing w:after="0" w:line="225"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CoStar Group,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8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1420"/>
        <w:spacing w:after="0"/>
        <w:tabs>
          <w:tab w:leader="none" w:pos="4140" w:val="left"/>
          <w:tab w:leader="none" w:pos="4580" w:val="left"/>
        </w:tabs>
        <w:rPr>
          <w:sz w:val="20"/>
          <w:szCs w:val="20"/>
          <w:color w:val="auto"/>
        </w:rPr>
      </w:pPr>
      <w:r>
        <w:rPr>
          <w:rFonts w:ascii="Arial" w:cs="Arial" w:eastAsia="Arial" w:hAnsi="Arial"/>
          <w:sz w:val="18"/>
          <w:szCs w:val="18"/>
          <w:color w:val="auto"/>
        </w:rPr>
        <w:t>Date: February 20,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Andrew C. Florance</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Andrew C. Florance</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(Principal Executive Officer and Duly Authorized Officer)</w:t>
      </w:r>
    </w:p>
    <w:p>
      <w:pPr>
        <w:sectPr>
          <w:pgSz w:w="11900" w:h="16838" w:orient="portrait"/>
          <w:cols w:equalWidth="0" w:num="1">
            <w:col w:w="11420"/>
          </w:cols>
          <w:pgMar w:left="240" w:top="121"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Brian J. Radecki, certify that:</w:t>
      </w:r>
    </w:p>
    <w:p>
      <w:pPr>
        <w:spacing w:after="0" w:line="225"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CoStar Group,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8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1420"/>
        <w:spacing w:after="0"/>
        <w:tabs>
          <w:tab w:leader="none" w:pos="4140" w:val="left"/>
          <w:tab w:leader="none" w:pos="4580" w:val="left"/>
        </w:tabs>
        <w:rPr>
          <w:sz w:val="20"/>
          <w:szCs w:val="20"/>
          <w:color w:val="auto"/>
        </w:rPr>
      </w:pPr>
      <w:r>
        <w:rPr>
          <w:rFonts w:ascii="Arial" w:cs="Arial" w:eastAsia="Arial" w:hAnsi="Arial"/>
          <w:sz w:val="18"/>
          <w:szCs w:val="18"/>
          <w:color w:val="auto"/>
        </w:rPr>
        <w:t>Date: February 20,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Brian J. Radecki</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Brian J. Radecki</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(Principal Financial and Accounting Officer and Duly Authorized Officer)</w:t>
      </w:r>
    </w:p>
    <w:p>
      <w:pPr>
        <w:sectPr>
          <w:pgSz w:w="11900" w:h="16838" w:orient="portrait"/>
          <w:cols w:equalWidth="0" w:num="1">
            <w:col w:w="11420"/>
          </w:cols>
          <w:pgMar w:left="240" w:top="121"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CoStar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1331 L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20005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color w:val="auto"/>
        </w:rPr>
        <w:t>Certification Of Principal Executive Officer Pursuant To 18 U.S.C. Sec. 1350</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Dear Ladies and Gentlemen: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accompanying Annual Report on Form 10-K of CoStar Group, Inc., for the year ended December 31, 2013, I, Andrew C. Florance, Chief Executive Officer of CoStar Group, Inc., hereby certify pursuant to 18 U.S.C. Section 1350, as adopted pursuant to Section 906 of the Sarbanes-Oxley Act of 2002, that:</w:t>
      </w:r>
    </w:p>
    <w:p>
      <w:pPr>
        <w:spacing w:after="0" w:line="181" w:lineRule="exact"/>
        <w:rPr>
          <w:sz w:val="20"/>
          <w:szCs w:val="20"/>
          <w:color w:val="auto"/>
        </w:rPr>
      </w:pPr>
    </w:p>
    <w:p>
      <w:pPr>
        <w:ind w:left="660" w:hanging="328"/>
        <w:spacing w:after="0" w:line="277"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such Annual Report on Form 10-K of CoStar Group, Inc., for the year ended December 31, 2013, fully complies with the requirements of Section 13(a) or 15(d) of the Securities Exchange Act of 1934 (15 U.S.C 78m or 78o (d));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information contained in such Annual Report on Form 10-K of CoStar Group, Inc., for the year ended December 31, 2013, fairly presents, in all material respects, the financial condition and results of operations of CoStar Group, Inc.</w:t>
      </w:r>
    </w:p>
    <w:p>
      <w:pPr>
        <w:spacing w:after="0" w:line="333" w:lineRule="exact"/>
        <w:rPr>
          <w:sz w:val="20"/>
          <w:szCs w:val="20"/>
          <w:color w:val="auto"/>
        </w:rPr>
      </w:pPr>
    </w:p>
    <w:p>
      <w:pPr>
        <w:ind w:left="542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Andrew C. Florance</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Andrew C. Florance</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 and Duly Authorized Officer)</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CoStar Group, Inc. and will be retained by CoStar Group, Inc. and furnished to the Securities and Exchange Commission or its staff upon request.</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accordance with Item 601 of Regulation S-K, this certification is being “furnished” as Exhibit 32.1 to CoStar Group, Inc.’s annual report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ectPr>
          <w:pgSz w:w="11900" w:h="16838" w:orient="portrait"/>
          <w:cols w:equalWidth="0" w:num="1">
            <w:col w:w="11420"/>
          </w:cols>
          <w:pgMar w:left="240" w:top="121"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CoStar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1331 L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20005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color w:val="auto"/>
        </w:rPr>
        <w:t>Certification Of Principal Financial Officer Pursuant To 18 U.S.C. Sec. 1350</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Dear Ladies and Gentlemen: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accompanying Annual Report on Form 10-K of CoStar Group, Inc., for the year ended December 31, 2013, I, Brian J. Radecki, Chief Financial Officer of CoStar Group, Inc., hereby certify pursuant to 18 U.S.C. Section 1350, as adopted pursuant to Section 906 of the Sarbanes-Oxley Act of 2002, that:</w:t>
      </w:r>
    </w:p>
    <w:p>
      <w:pPr>
        <w:spacing w:after="0" w:line="181" w:lineRule="exact"/>
        <w:rPr>
          <w:sz w:val="20"/>
          <w:szCs w:val="20"/>
          <w:color w:val="auto"/>
        </w:rPr>
      </w:pPr>
    </w:p>
    <w:p>
      <w:pPr>
        <w:ind w:left="660" w:hanging="328"/>
        <w:spacing w:after="0" w:line="27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such Annual Report on Form 10-K of CoStar Group, Inc., for the year ended December 31, 2013, fully complies with the requirements of Section 13(a) or 15(d) of the Securities Exchange Act of 1934 (15 U.S.C. 78m or 78o (d));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information contained in such Annual Report on Form 10-K of CoStar Group, Inc., for the year ended December 31, 2013, fairly presents, in all material respects, the financial condition and results of operations of CoStar Group, Inc.</w:t>
      </w:r>
    </w:p>
    <w:p>
      <w:pPr>
        <w:spacing w:after="0" w:line="333" w:lineRule="exact"/>
        <w:rPr>
          <w:sz w:val="20"/>
          <w:szCs w:val="20"/>
          <w:color w:val="auto"/>
        </w:rPr>
      </w:pPr>
    </w:p>
    <w:p>
      <w:pPr>
        <w:ind w:left="542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Brian J. Radecki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Brian J. Radecki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 and Duly Authorized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w:t>
      </w:r>
    </w:p>
    <w:p>
      <w:pPr>
        <w:spacing w:after="0" w:line="2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CoStar Group, Inc. and will be retained by CoStar Group, Inc. and furnished to the Securities and Exchange Commission or its staff upon request.</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accordance with Item 601 of Regulation S-K, this certification is being “furnished” as Exhibit 32.2 to CoStar Group, Inc.’s annual report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1)"/>
      <w:numFmt w:val="decimal"/>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1)"/>
      <w:numFmt w:val="decimal"/>
      <w:start w:val="1"/>
    </w:lvl>
  </w:abstractNum>
  <w:abstractNum w:abstractNumId="16">
    <w:nsid w:val="79A1DEAA"/>
    <w:multiLevelType w:val="hybridMultilevel"/>
    <w:lvl w:ilvl="0">
      <w:lvlJc w:val="left"/>
      <w:lvlText w:val="*"/>
      <w:numFmt w:val="bullet"/>
      <w:start w:val="1"/>
    </w:lvl>
    <w:lvl w:ilvl="1">
      <w:lvlJc w:val="left"/>
      <w:lvlText w:val="%2"/>
      <w:numFmt w:val="decimal"/>
      <w:start w:val="101"/>
    </w:lvl>
  </w:abstractNum>
  <w:abstractNum w:abstractNumId="17">
    <w:nsid w:val="75C6C33A"/>
    <w:multiLevelType w:val="hybridMultilevel"/>
    <w:lvl w:ilvl="0">
      <w:lvlJc w:val="left"/>
      <w:lvlText w:val="%1."/>
      <w:numFmt w:val="decimal"/>
      <w:start w:val="1"/>
    </w:lvl>
  </w:abstractNum>
  <w:abstractNum w:abstractNumId="18">
    <w:nsid w:val="12E685FB"/>
    <w:multiLevelType w:val="hybridMultilevel"/>
    <w:lvl w:ilvl="0">
      <w:lvlJc w:val="left"/>
      <w:lvlText w:val="%1."/>
      <w:numFmt w:val="decimal"/>
      <w:start w:val="2"/>
    </w:lvl>
  </w:abstractNum>
  <w:abstractNum w:abstractNumId="19">
    <w:nsid w:val="70C6A529"/>
    <w:multiLevelType w:val="hybridMultilevel"/>
    <w:lvl w:ilvl="0">
      <w:lvlJc w:val="left"/>
      <w:lvlText w:val="%1."/>
      <w:numFmt w:val="decimal"/>
      <w:start w:val="2"/>
    </w:lvl>
  </w:abstractNum>
  <w:abstractNum w:abstractNumId="20">
    <w:nsid w:val="520EEDD1"/>
    <w:multiLevelType w:val="hybridMultilevel"/>
    <w:lvl w:ilvl="0">
      <w:lvlJc w:val="left"/>
      <w:lvlText w:val="%1."/>
      <w:numFmt w:val="decimal"/>
      <w:start w:val="2"/>
    </w:lvl>
  </w:abstractNum>
  <w:abstractNum w:abstractNumId="21">
    <w:nsid w:val="374A3FE6"/>
    <w:multiLevelType w:val="hybridMultilevel"/>
    <w:lvl w:ilvl="0">
      <w:lvlJc w:val="left"/>
      <w:lvlText w:val="%1."/>
      <w:numFmt w:val="decimal"/>
      <w:start w:val="2"/>
    </w:lvl>
  </w:abstractNum>
  <w:abstractNum w:abstractNumId="22">
    <w:nsid w:val="4F4EF005"/>
    <w:multiLevelType w:val="hybridMultilevel"/>
    <w:lvl w:ilvl="0">
      <w:lvlJc w:val="left"/>
      <w:lvlText w:val="%1."/>
      <w:numFmt w:val="decimal"/>
      <w:start w:val="2"/>
    </w:lvl>
  </w:abstractNum>
  <w:abstractNum w:abstractNumId="23">
    <w:nsid w:val="23F9C13C"/>
    <w:multiLevelType w:val="hybridMultilevel"/>
    <w:lvl w:ilvl="0">
      <w:lvlJc w:val="left"/>
      <w:lvlText w:val="%1."/>
      <w:numFmt w:val="decimal"/>
      <w:start w:val="2"/>
    </w:lvl>
  </w:abstractNum>
  <w:abstractNum w:abstractNumId="24">
    <w:nsid w:val="649BB77C"/>
    <w:multiLevelType w:val="hybridMultilevel"/>
    <w:lvl w:ilvl="0">
      <w:lvlJc w:val="left"/>
      <w:lvlText w:val="%1."/>
      <w:numFmt w:val="decimal"/>
      <w:start w:val="3"/>
    </w:lvl>
  </w:abstractNum>
  <w:abstractNum w:abstractNumId="25">
    <w:nsid w:val="275AC794"/>
    <w:multiLevelType w:val="hybridMultilevel"/>
    <w:lvl w:ilvl="0">
      <w:lvlJc w:val="left"/>
      <w:lvlText w:val="%1."/>
      <w:numFmt w:val="decimal"/>
      <w:start w:val="3"/>
    </w:lvl>
  </w:abstractNum>
  <w:abstractNum w:abstractNumId="26">
    <w:nsid w:val="39386575"/>
    <w:multiLevelType w:val="hybridMultilevel"/>
    <w:lvl w:ilvl="0">
      <w:lvlJc w:val="left"/>
      <w:lvlText w:val="%1."/>
      <w:numFmt w:val="decimal"/>
      <w:start w:val="4"/>
    </w:lvl>
  </w:abstractNum>
  <w:abstractNum w:abstractNumId="27">
    <w:nsid w:val="1CF10FD8"/>
    <w:multiLevelType w:val="hybridMultilevel"/>
    <w:lvl w:ilvl="0">
      <w:lvlJc w:val="left"/>
      <w:lvlText w:val="%1."/>
      <w:numFmt w:val="decimal"/>
      <w:start w:val="4"/>
    </w:lvl>
  </w:abstractNum>
  <w:abstractNum w:abstractNumId="28">
    <w:nsid w:val="180115BE"/>
    <w:multiLevelType w:val="hybridMultilevel"/>
    <w:lvl w:ilvl="0">
      <w:lvlJc w:val="left"/>
      <w:lvlText w:val="%1."/>
      <w:numFmt w:val="decimal"/>
      <w:start w:val="5"/>
    </w:lvl>
  </w:abstractNum>
  <w:abstractNum w:abstractNumId="29">
    <w:nsid w:val="235BA861"/>
    <w:multiLevelType w:val="hybridMultilevel"/>
    <w:lvl w:ilvl="0">
      <w:lvlJc w:val="left"/>
      <w:lvlText w:val="%1."/>
      <w:numFmt w:val="decimal"/>
      <w:start w:val="5"/>
    </w:lvl>
  </w:abstractNum>
  <w:abstractNum w:abstractNumId="30">
    <w:nsid w:val="47398C89"/>
    <w:multiLevelType w:val="hybridMultilevel"/>
    <w:lvl w:ilvl="0">
      <w:lvlJc w:val="left"/>
      <w:lvlText w:val="%1."/>
      <w:numFmt w:val="decimal"/>
      <w:start w:val="5"/>
    </w:lvl>
  </w:abstractNum>
  <w:abstractNum w:abstractNumId="31">
    <w:nsid w:val="354FE9F9"/>
    <w:multiLevelType w:val="hybridMultilevel"/>
    <w:lvl w:ilvl="0">
      <w:lvlJc w:val="left"/>
      <w:lvlText w:val="%1."/>
      <w:numFmt w:val="decimal"/>
      <w:start w:val="5"/>
    </w:lvl>
  </w:abstractNum>
  <w:abstractNum w:abstractNumId="32">
    <w:nsid w:val="15B5AF5C"/>
    <w:multiLevelType w:val="hybridMultilevel"/>
    <w:lvl w:ilvl="0">
      <w:lvlJc w:val="left"/>
      <w:lvlText w:val="%1."/>
      <w:numFmt w:val="decimal"/>
      <w:start w:val="6"/>
    </w:lvl>
  </w:abstractNum>
  <w:abstractNum w:abstractNumId="33">
    <w:nsid w:val="741226BB"/>
    <w:multiLevelType w:val="hybridMultilevel"/>
    <w:lvl w:ilvl="0">
      <w:lvlJc w:val="left"/>
      <w:lvlText w:val="%1."/>
      <w:numFmt w:val="decimal"/>
      <w:start w:val="7"/>
    </w:lvl>
  </w:abstractNum>
  <w:abstractNum w:abstractNumId="34">
    <w:nsid w:val="D34B6A8"/>
    <w:multiLevelType w:val="hybridMultilevel"/>
    <w:lvl w:ilvl="0">
      <w:lvlJc w:val="left"/>
      <w:lvlText w:val="%1."/>
      <w:numFmt w:val="decimal"/>
      <w:start w:val="8"/>
    </w:lvl>
  </w:abstractNum>
  <w:abstractNum w:abstractNumId="35">
    <w:nsid w:val="10233C99"/>
    <w:multiLevelType w:val="hybridMultilevel"/>
    <w:lvl w:ilvl="0">
      <w:lvlJc w:val="left"/>
      <w:lvlText w:val="(%1)"/>
      <w:numFmt w:val="decimal"/>
      <w:start w:val="1"/>
    </w:lvl>
  </w:abstractNum>
  <w:abstractNum w:abstractNumId="36">
    <w:nsid w:val="3F6AB60F"/>
    <w:multiLevelType w:val="hybridMultilevel"/>
    <w:lvl w:ilvl="0">
      <w:lvlJc w:val="left"/>
      <w:lvlText w:val="%1."/>
      <w:numFmt w:val="decimal"/>
      <w:start w:val="9"/>
    </w:lvl>
  </w:abstractNum>
  <w:abstractNum w:abstractNumId="37">
    <w:nsid w:val="61574095"/>
    <w:multiLevelType w:val="hybridMultilevel"/>
    <w:lvl w:ilvl="0">
      <w:lvlJc w:val="left"/>
      <w:lvlText w:val="(%1)"/>
      <w:numFmt w:val="lowerRoman"/>
      <w:start w:val="5"/>
    </w:lvl>
  </w:abstractNum>
  <w:abstractNum w:abstractNumId="38">
    <w:nsid w:val="7E0C57B1"/>
    <w:multiLevelType w:val="hybridMultilevel"/>
    <w:lvl w:ilvl="0">
      <w:lvlJc w:val="left"/>
      <w:lvlText w:val="%1."/>
      <w:numFmt w:val="decimal"/>
      <w:start w:val="9"/>
    </w:lvl>
  </w:abstractNum>
  <w:abstractNum w:abstractNumId="39">
    <w:nsid w:val="77AE35EB"/>
    <w:multiLevelType w:val="hybridMultilevel"/>
    <w:lvl w:ilvl="0">
      <w:lvlJc w:val="left"/>
      <w:lvlText w:val="%1."/>
      <w:numFmt w:val="decimal"/>
      <w:start w:val="10"/>
    </w:lvl>
  </w:abstractNum>
  <w:abstractNum w:abstractNumId="40">
    <w:nsid w:val="579BE4F1"/>
    <w:multiLevelType w:val="hybridMultilevel"/>
    <w:lvl w:ilvl="0">
      <w:lvlJc w:val="left"/>
      <w:lvlText w:val="%1."/>
      <w:numFmt w:val="decimal"/>
      <w:start w:val="10"/>
    </w:lvl>
  </w:abstractNum>
  <w:abstractNum w:abstractNumId="41">
    <w:nsid w:val="310C50B3"/>
    <w:multiLevelType w:val="hybridMultilevel"/>
    <w:lvl w:ilvl="0">
      <w:lvlJc w:val="left"/>
      <w:lvlText w:val="%1."/>
      <w:numFmt w:val="decimal"/>
      <w:start w:val="11"/>
    </w:lvl>
  </w:abstractNum>
  <w:abstractNum w:abstractNumId="42">
    <w:nsid w:val="5FF87E05"/>
    <w:multiLevelType w:val="hybridMultilevel"/>
    <w:lvl w:ilvl="0">
      <w:lvlJc w:val="left"/>
      <w:lvlText w:val="%1."/>
      <w:numFmt w:val="decimal"/>
      <w:start w:val="11"/>
    </w:lvl>
  </w:abstractNum>
  <w:abstractNum w:abstractNumId="43">
    <w:nsid w:val="2F305DEF"/>
    <w:multiLevelType w:val="hybridMultilevel"/>
    <w:lvl w:ilvl="0">
      <w:lvlJc w:val="left"/>
      <w:lvlText w:val="%1."/>
      <w:numFmt w:val="decimal"/>
      <w:start w:val="12"/>
    </w:lvl>
  </w:abstractNum>
  <w:abstractNum w:abstractNumId="44">
    <w:nsid w:val="25A70BF7"/>
    <w:multiLevelType w:val="hybridMultilevel"/>
    <w:lvl w:ilvl="0">
      <w:lvlJc w:val="left"/>
      <w:lvlText w:val="%1."/>
      <w:numFmt w:val="decimal"/>
      <w:start w:val="12"/>
    </w:lvl>
  </w:abstractNum>
  <w:abstractNum w:abstractNumId="45">
    <w:nsid w:val="1DBABF00"/>
    <w:multiLevelType w:val="hybridMultilevel"/>
    <w:lvl w:ilvl="0">
      <w:lvlJc w:val="left"/>
      <w:lvlText w:val="%1."/>
      <w:numFmt w:val="decimal"/>
      <w:start w:val="13"/>
    </w:lvl>
  </w:abstractNum>
  <w:abstractNum w:abstractNumId="46">
    <w:nsid w:val="4AD084E9"/>
    <w:multiLevelType w:val="hybridMultilevel"/>
    <w:lvl w:ilvl="0">
      <w:lvlJc w:val="left"/>
      <w:lvlText w:val="%1."/>
      <w:numFmt w:val="decimal"/>
      <w:start w:val="14"/>
    </w:lvl>
  </w:abstractNum>
  <w:abstractNum w:abstractNumId="47">
    <w:nsid w:val="1F48EAA1"/>
    <w:multiLevelType w:val="hybridMultilevel"/>
    <w:lvl w:ilvl="0">
      <w:lvlJc w:val="left"/>
      <w:lvlText w:val="%1."/>
      <w:numFmt w:val="decimal"/>
      <w:start w:val="15"/>
    </w:lvl>
  </w:abstractNum>
  <w:abstractNum w:abstractNumId="48">
    <w:nsid w:val="1381823A"/>
    <w:multiLevelType w:val="hybridMultilevel"/>
    <w:lvl w:ilvl="0">
      <w:lvlJc w:val="left"/>
      <w:lvlText w:val="%1."/>
      <w:numFmt w:val="decimal"/>
      <w:start w:val="15"/>
    </w:lvl>
  </w:abstractNum>
  <w:abstractNum w:abstractNumId="49">
    <w:nsid w:val="5DB70AE5"/>
    <w:multiLevelType w:val="hybridMultilevel"/>
    <w:lvl w:ilvl="0">
      <w:lvlJc w:val="left"/>
      <w:lvlText w:val="(%1)"/>
      <w:numFmt w:val="lowerRoman"/>
      <w:start w:val="2"/>
    </w:lvl>
  </w:abstractNum>
  <w:abstractNum w:abstractNumId="50">
    <w:nsid w:val="100F8FCA"/>
    <w:multiLevelType w:val="hybridMultilevel"/>
    <w:lvl w:ilvl="0">
      <w:lvlJc w:val="left"/>
      <w:lvlText w:val="%1."/>
      <w:numFmt w:val="decimal"/>
      <w:start w:val="15"/>
    </w:lvl>
  </w:abstractNum>
  <w:abstractNum w:abstractNumId="51">
    <w:nsid w:val="6590700B"/>
    <w:multiLevelType w:val="hybridMultilevel"/>
    <w:lvl w:ilvl="0">
      <w:lvlJc w:val="left"/>
      <w:lvlText w:val="%1."/>
      <w:numFmt w:val="decimal"/>
      <w:start w:val="15"/>
    </w:lvl>
  </w:abstractNum>
  <w:abstractNum w:abstractNumId="52">
    <w:nsid w:val="15014ACB"/>
    <w:multiLevelType w:val="hybridMultilevel"/>
    <w:lvl w:ilvl="0">
      <w:lvlJc w:val="left"/>
      <w:lvlText w:val="%1."/>
      <w:numFmt w:val="decimal"/>
      <w:start w:val="1"/>
    </w:lvl>
  </w:abstractNum>
  <w:abstractNum w:abstractNumId="53">
    <w:nsid w:val="5F5E7FD0"/>
    <w:multiLevelType w:val="hybridMultilevel"/>
    <w:lvl w:ilvl="0">
      <w:lvlJc w:val="left"/>
      <w:lvlText w:val="%1."/>
      <w:numFmt w:val="lowerLetter"/>
      <w:start w:val="1"/>
    </w:lvl>
    <w:lvl w:ilvl="1">
      <w:lvlJc w:val="left"/>
      <w:lvlText w:val="%2."/>
      <w:numFmt w:val="lowerRoman"/>
      <w:start w:val="1"/>
    </w:lvl>
  </w:abstractNum>
  <w:abstractNum w:abstractNumId="54">
    <w:nsid w:val="98A3148"/>
    <w:multiLevelType w:val="hybridMultilevel"/>
    <w:lvl w:ilvl="0">
      <w:lvlJc w:val="left"/>
      <w:lvlText w:val="%1."/>
      <w:numFmt w:val="lowerLetter"/>
      <w:start w:val="3"/>
    </w:lvl>
  </w:abstractNum>
  <w:abstractNum w:abstractNumId="55">
    <w:nsid w:val="799D0247"/>
    <w:multiLevelType w:val="hybridMultilevel"/>
    <w:lvl w:ilvl="0">
      <w:lvlJc w:val="left"/>
      <w:lvlText w:val="%1."/>
      <w:numFmt w:val="decimal"/>
      <w:start w:val="4"/>
    </w:lvl>
  </w:abstractNum>
  <w:abstractNum w:abstractNumId="56">
    <w:nsid w:val="6B94764"/>
    <w:multiLevelType w:val="hybridMultilevel"/>
    <w:lvl w:ilvl="0">
      <w:lvlJc w:val="left"/>
      <w:lvlText w:val="%1."/>
      <w:numFmt w:val="lowerLetter"/>
      <w:start w:val="1"/>
    </w:lvl>
  </w:abstractNum>
  <w:abstractNum w:abstractNumId="57">
    <w:nsid w:val="42C296BD"/>
    <w:multiLevelType w:val="hybridMultilevel"/>
    <w:lvl w:ilvl="0">
      <w:lvlJc w:val="left"/>
      <w:lvlText w:val="%1."/>
      <w:numFmt w:val="lowerRoman"/>
      <w:start w:val="1"/>
    </w:lvl>
  </w:abstractNum>
  <w:abstractNum w:abstractNumId="58">
    <w:nsid w:val="168E121F"/>
    <w:multiLevelType w:val="hybridMultilevel"/>
    <w:lvl w:ilvl="0">
      <w:lvlJc w:val="left"/>
      <w:lvlText w:val="%1."/>
      <w:numFmt w:val="decimal"/>
      <w:start w:val="6"/>
    </w:lvl>
  </w:abstractNum>
  <w:abstractNum w:abstractNumId="59">
    <w:nsid w:val="1EBA5D23"/>
    <w:multiLevelType w:val="hybridMultilevel"/>
    <w:lvl w:ilvl="0">
      <w:lvlJc w:val="left"/>
      <w:lvlText w:val="%1."/>
      <w:numFmt w:val="lowerLetter"/>
      <w:start w:val="1"/>
    </w:lvl>
  </w:abstractNum>
  <w:abstractNum w:abstractNumId="60">
    <w:nsid w:val="661E3F1E"/>
    <w:multiLevelType w:val="hybridMultilevel"/>
    <w:lvl w:ilvl="0">
      <w:lvlJc w:val="left"/>
      <w:lvlText w:val="%1."/>
      <w:numFmt w:val="decimal"/>
      <w:start w:val="8"/>
    </w:lvl>
  </w:abstractNum>
  <w:abstractNum w:abstractNumId="61">
    <w:nsid w:val="5DC79EA8"/>
    <w:multiLevelType w:val="hybridMultilevel"/>
    <w:lvl w:ilvl="0">
      <w:lvlJc w:val="left"/>
      <w:lvlText w:val="%1."/>
      <w:numFmt w:val="lowerLetter"/>
      <w:start w:val="1"/>
    </w:lvl>
  </w:abstractNum>
  <w:abstractNum w:abstractNumId="62">
    <w:nsid w:val="540A471C"/>
    <w:multiLevelType w:val="hybridMultilevel"/>
    <w:lvl w:ilvl="0">
      <w:lvlJc w:val="left"/>
      <w:lvlText w:val="%1."/>
      <w:numFmt w:val="lowerLetter"/>
      <w:start w:val="2"/>
    </w:lvl>
  </w:abstractNum>
  <w:abstractNum w:abstractNumId="63">
    <w:nsid w:val="7BD3EE7B"/>
    <w:multiLevelType w:val="hybridMultilevel"/>
    <w:lvl w:ilvl="0">
      <w:lvlJc w:val="left"/>
      <w:lvlText w:val="%1."/>
      <w:numFmt w:val="decimal"/>
      <w:start w:val="15"/>
    </w:lvl>
  </w:abstractNum>
  <w:abstractNum w:abstractNumId="64">
    <w:nsid w:val="51D9C564"/>
    <w:multiLevelType w:val="hybridMultilevel"/>
    <w:lvl w:ilvl="0">
      <w:lvlJc w:val="left"/>
      <w:lvlText w:val="%1."/>
      <w:numFmt w:val="decimal"/>
      <w:start w:val="17"/>
    </w:lvl>
  </w:abstractNum>
  <w:abstractNum w:abstractNumId="65">
    <w:nsid w:val="613EFDC5"/>
    <w:multiLevelType w:val="hybridMultilevel"/>
    <w:lvl w:ilvl="0">
      <w:lvlJc w:val="left"/>
      <w:lvlText w:val="%1."/>
      <w:numFmt w:val="lowerLetter"/>
      <w:start w:val="1"/>
    </w:lvl>
  </w:abstractNum>
  <w:abstractNum w:abstractNumId="66">
    <w:nsid w:val="BF72B14"/>
    <w:multiLevelType w:val="hybridMultilevel"/>
    <w:lvl w:ilvl="0">
      <w:lvlJc w:val="left"/>
      <w:lvlText w:val="%1."/>
      <w:numFmt w:val="lowerLetter"/>
      <w:start w:val="4"/>
    </w:lvl>
  </w:abstractNum>
  <w:abstractNum w:abstractNumId="67">
    <w:nsid w:val="11447B73"/>
    <w:multiLevelType w:val="hybridMultilevel"/>
    <w:lvl w:ilvl="0">
      <w:lvlJc w:val="left"/>
      <w:lvlText w:val="%1."/>
      <w:numFmt w:val="decimal"/>
      <w:start w:val="1"/>
    </w:lvl>
    <w:lvl w:ilvl="1">
      <w:lvlJc w:val="left"/>
      <w:lvlText w:val="(%2)"/>
      <w:numFmt w:val="lowerLetter"/>
      <w:start w:val="1"/>
    </w:lvl>
  </w:abstractNum>
  <w:abstractNum w:abstractNumId="68">
    <w:nsid w:val="42963E5A"/>
    <w:multiLevelType w:val="hybridMultilevel"/>
    <w:lvl w:ilvl="0">
      <w:lvlJc w:val="left"/>
      <w:lvlText w:val="%1."/>
      <w:numFmt w:val="decimal"/>
      <w:start w:val="4"/>
    </w:lvl>
  </w:abstractNum>
  <w:abstractNum w:abstractNumId="69">
    <w:nsid w:val="A0382C5"/>
    <w:multiLevelType w:val="hybridMultilevel"/>
    <w:lvl w:ilvl="0">
      <w:lvlJc w:val="left"/>
      <w:lvlText w:val="%1."/>
      <w:numFmt w:val="decimal"/>
      <w:start w:val="6"/>
    </w:lvl>
    <w:lvl w:ilvl="1">
      <w:lvlJc w:val="left"/>
      <w:lvlText w:val="•"/>
      <w:numFmt w:val="bullet"/>
      <w:start w:val="1"/>
    </w:lvl>
  </w:abstractNum>
  <w:abstractNum w:abstractNumId="70">
    <w:nsid w:val="8F2B15E"/>
    <w:multiLevelType w:val="hybridMultilevel"/>
    <w:lvl w:ilvl="0">
      <w:lvlJc w:val="left"/>
      <w:lvlText w:val="1"/>
      <w:numFmt w:val="bullet"/>
      <w:start w:val="1"/>
    </w:lvl>
  </w:abstractNum>
  <w:abstractNum w:abstractNumId="71">
    <w:nsid w:val="1A32234B"/>
    <w:multiLevelType w:val="hybridMultilevel"/>
    <w:lvl w:ilvl="0">
      <w:lvlJc w:val="left"/>
      <w:lvlText w:val="%1."/>
      <w:numFmt w:val="decimal"/>
      <w:start w:val="9"/>
    </w:lvl>
  </w:abstractNum>
  <w:abstractNum w:abstractNumId="72">
    <w:nsid w:val="3B0FD379"/>
    <w:multiLevelType w:val="hybridMultilevel"/>
    <w:lvl w:ilvl="0">
      <w:lvlJc w:val="left"/>
      <w:lvlText w:val="%1."/>
      <w:numFmt w:val="decimal"/>
      <w:start w:val="16"/>
    </w:lvl>
  </w:abstractNum>
  <w:abstractNum w:abstractNumId="73">
    <w:nsid w:val="68EB2F63"/>
    <w:multiLevelType w:val="hybridMultilevel"/>
    <w:lvl w:ilvl="0">
      <w:lvlJc w:val="left"/>
      <w:lvlText w:val="(%1)"/>
      <w:numFmt w:val="lowerLetter"/>
      <w:start w:val="1"/>
    </w:lvl>
    <w:lvl w:ilvl="1">
      <w:lvlJc w:val="left"/>
      <w:lvlText w:val="(%2)"/>
      <w:numFmt w:val="lowerLetter"/>
      <w:start w:val="2"/>
    </w:lvl>
  </w:abstractNum>
  <w:abstractNum w:abstractNumId="74">
    <w:nsid w:val="4962813B"/>
    <w:multiLevelType w:val="hybridMultilevel"/>
    <w:lvl w:ilvl="0">
      <w:lvlJc w:val="left"/>
      <w:lvlText w:val="(%1)"/>
      <w:numFmt w:val="lowerLetter"/>
      <w:start w:val="3"/>
    </w:lvl>
  </w:abstractNum>
  <w:abstractNum w:abstractNumId="75">
    <w:nsid w:val="60B6DF70"/>
    <w:multiLevelType w:val="hybridMultilevel"/>
    <w:lvl w:ilvl="0">
      <w:lvlJc w:val="left"/>
      <w:lvlText w:val="(%1)"/>
      <w:numFmt w:val="lowerLetter"/>
      <w:start w:val="1"/>
    </w:lvl>
  </w:abstractNum>
  <w:abstractNum w:abstractNumId="76">
    <w:nsid w:val="6A5EE64"/>
    <w:multiLevelType w:val="hybridMultilevel"/>
    <w:lvl w:ilvl="0">
      <w:lvlJc w:val="left"/>
      <w:lvlText w:val="(%1)"/>
      <w:numFmt w:val="lowerLetter"/>
      <w:start w:val="4"/>
    </w:lvl>
  </w:abstractNum>
  <w:abstractNum w:abstractNumId="77">
    <w:nsid w:val="14330624"/>
    <w:multiLevelType w:val="hybridMultilevel"/>
    <w:lvl w:ilvl="0">
      <w:lvlJc w:val="left"/>
      <w:lvlText w:val="(%1)"/>
      <w:numFmt w:val="lowerLetter"/>
      <w:start w:val="1"/>
    </w:lvl>
  </w:abstractNum>
  <w:abstractNum w:abstractNumId="78">
    <w:nsid w:val="7FFFCA11"/>
    <w:multiLevelType w:val="hybridMultilevel"/>
    <w:lvl w:ilvl="0">
      <w:lvlJc w:val="left"/>
      <w:lvlText w:val="(%1)"/>
      <w:numFmt w:val="lowerLetter"/>
      <w:start w:val="2"/>
    </w:lvl>
  </w:abstractNum>
  <w:abstractNum w:abstractNumId="79">
    <w:nsid w:val="1A27709E"/>
    <w:multiLevelType w:val="hybridMultilevel"/>
    <w:lvl w:ilvl="0">
      <w:lvlJc w:val="left"/>
      <w:lvlText w:val="(%1)"/>
      <w:numFmt w:val="lowerLetter"/>
      <w:start w:val="8"/>
    </w:lvl>
  </w:abstractNum>
  <w:abstractNum w:abstractNumId="80">
    <w:nsid w:val="71EA1109"/>
    <w:multiLevelType w:val="hybridMultilevel"/>
    <w:lvl w:ilvl="0">
      <w:lvlJc w:val="left"/>
      <w:lvlText w:val="%1)"/>
      <w:numFmt w:val="lowerLetter"/>
      <w:start w:val="1"/>
    </w:lvl>
  </w:abstractNum>
  <w:abstractNum w:abstractNumId="81">
    <w:nsid w:val="100F59DC"/>
    <w:multiLevelType w:val="hybridMultilevel"/>
    <w:lvl w:ilvl="0">
      <w:lvlJc w:val="left"/>
      <w:lvlText w:val="(%1)"/>
      <w:numFmt w:val="decimal"/>
      <w:start w:val="1"/>
    </w:lvl>
  </w:abstractNum>
  <w:abstractNum w:abstractNumId="82">
    <w:nsid w:val="7FB7E0AA"/>
    <w:multiLevelType w:val="hybridMultilevel"/>
    <w:lvl w:ilvl="0">
      <w:lvlJc w:val="left"/>
      <w:lvlText w:val="%1."/>
      <w:numFmt w:val="decimal"/>
      <w:start w:val="1"/>
    </w:lvl>
    <w:lvl w:ilvl="1">
      <w:lvlJc w:val="left"/>
      <w:lvlText w:val="%2)"/>
      <w:numFmt w:val="lowerLetter"/>
      <w:start w:val="1"/>
    </w:lvl>
  </w:abstractNum>
  <w:abstractNum w:abstractNumId="83">
    <w:nsid w:val="6EB5BD4"/>
    <w:multiLevelType w:val="hybridMultilevel"/>
    <w:lvl w:ilvl="0">
      <w:lvlJc w:val="left"/>
      <w:lvlText w:val="%1."/>
      <w:numFmt w:val="decimal"/>
      <w:start w:val="1"/>
    </w:lvl>
    <w:lvl w:ilvl="1">
      <w:lvlJc w:val="left"/>
      <w:lvlText w:val="%2)"/>
      <w:numFmt w:val="lowerLetter"/>
      <w:start w:val="1"/>
    </w:lvl>
  </w:abstractNum>
  <w:abstractNum w:abstractNumId="84">
    <w:nsid w:val="6F6DD9AC"/>
    <w:multiLevelType w:val="hybridMultilevel"/>
    <w:lvl w:ilvl="0">
      <w:lvlJc w:val="left"/>
      <w:lvlText w:val="%1)"/>
      <w:numFmt w:val="decimal"/>
      <w:start w:val="1"/>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2019-12-06T19:04:58Z</dcterms:created>
  <dcterms:modified xsi:type="dcterms:W3CDTF">2019-12-06T19:04:58Z</dcterms:modified>
</cp:coreProperties>
</file>