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0" w:lineRule="exact"/>
        <w:rPr>
          <w:sz w:val="24"/>
          <w:szCs w:val="24"/>
          <w:color w:val="auto"/>
        </w:rPr>
      </w:pPr>
    </w:p>
    <w:p>
      <w:pPr>
        <w:jc w:val="center"/>
        <w:ind w:left="4220" w:right="3020" w:hanging="1564"/>
        <w:spacing w:after="0" w:line="285" w:lineRule="auto"/>
        <w:tabs>
          <w:tab w:leader="none" w:pos="34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1" w:lineRule="exact"/>
        <w:rPr>
          <w:sz w:val="24"/>
          <w:szCs w:val="24"/>
          <w:color w:val="auto"/>
        </w:rPr>
      </w:pPr>
    </w:p>
    <w:p>
      <w:pPr>
        <w:jc w:val="center"/>
        <w:ind w:left="4220" w:right="3000" w:hanging="1557"/>
        <w:spacing w:after="0" w:line="275" w:lineRule="auto"/>
        <w:tabs>
          <w:tab w:leader="none" w:pos="3465"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color w:val="auto"/>
        </w:rPr>
        <w:t>For the transition period from ______ to 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0-24531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1678305</wp:posOffset>
            </wp:positionH>
            <wp:positionV relativeFrom="paragraph">
              <wp:posOffset>49530</wp:posOffset>
            </wp:positionV>
            <wp:extent cx="3786505" cy="647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86505" cy="647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CoStar Group, Inc.</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12" w:lineRule="exact"/>
        <w:rPr>
          <w:sz w:val="24"/>
          <w:szCs w:val="24"/>
          <w:color w:val="auto"/>
        </w:rPr>
      </w:pPr>
    </w:p>
    <w:tbl>
      <w:tblPr>
        <w:tblLayout w:type="fixed"/>
        <w:tblInd w:w="1400" w:type="dxa"/>
        <w:tblCellMar>
          <w:top w:w="0" w:type="dxa"/>
          <w:left w:w="0" w:type="dxa"/>
          <w:bottom w:w="0" w:type="dxa"/>
          <w:right w:w="0" w:type="dxa"/>
        </w:tblCellMar>
      </w:tblPr>
      <w:tr>
        <w:trPr>
          <w:trHeight w:val="184"/>
        </w:trPr>
        <w:tc>
          <w:tcPr>
            <w:tcW w:w="1600" w:type="dxa"/>
            <w:vAlign w:val="bottom"/>
          </w:tcPr>
          <w:p>
            <w:pPr>
              <w:spacing w:after="0"/>
              <w:rPr>
                <w:sz w:val="15"/>
                <w:szCs w:val="15"/>
                <w:color w:val="auto"/>
              </w:rPr>
            </w:pPr>
          </w:p>
        </w:tc>
        <w:tc>
          <w:tcPr>
            <w:tcW w:w="2600" w:type="dxa"/>
            <w:vAlign w:val="bottom"/>
            <w:gridSpan w:val="2"/>
          </w:tcPr>
          <w:p>
            <w:pPr>
              <w:jc w:val="center"/>
              <w:ind w:right="188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60" w:type="dxa"/>
            <w:vAlign w:val="bottom"/>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52-2091509</w:t>
            </w:r>
          </w:p>
        </w:tc>
      </w:tr>
      <w:tr>
        <w:trPr>
          <w:trHeight w:val="20"/>
        </w:trPr>
        <w:tc>
          <w:tcPr>
            <w:tcW w:w="1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80"/>
        </w:trPr>
        <w:tc>
          <w:tcPr>
            <w:tcW w:w="4200" w:type="dxa"/>
            <w:vAlign w:val="bottom"/>
            <w:gridSpan w:val="3"/>
          </w:tcPr>
          <w:p>
            <w:pPr>
              <w:jc w:val="center"/>
              <w:ind w:right="261"/>
              <w:spacing w:after="0"/>
              <w:rPr>
                <w:sz w:val="20"/>
                <w:szCs w:val="20"/>
                <w:color w:val="auto"/>
              </w:rPr>
            </w:pPr>
            <w:r>
              <w:rPr>
                <w:rFonts w:ascii="Times New Roman" w:cs="Times New Roman" w:eastAsia="Times New Roman" w:hAnsi="Times New Roman"/>
                <w:sz w:val="16"/>
                <w:szCs w:val="16"/>
                <w:i w:val="1"/>
                <w:iCs w:val="1"/>
                <w:color w:val="auto"/>
                <w:w w:val="99"/>
              </w:rPr>
              <w:t>(State or other jurisdiction of incorporation or organization)</w:t>
            </w:r>
          </w:p>
        </w:tc>
        <w:tc>
          <w:tcPr>
            <w:tcW w:w="3560" w:type="dxa"/>
            <w:vAlign w:val="bottom"/>
          </w:tcPr>
          <w:p>
            <w:pPr>
              <w:jc w:val="center"/>
              <w:ind w:left="1221"/>
              <w:spacing w:after="0"/>
              <w:rPr>
                <w:sz w:val="20"/>
                <w:szCs w:val="20"/>
                <w:color w:val="auto"/>
              </w:rPr>
            </w:pPr>
            <w:r>
              <w:rPr>
                <w:rFonts w:ascii="Times New Roman" w:cs="Times New Roman" w:eastAsia="Times New Roman" w:hAnsi="Times New Roman"/>
                <w:sz w:val="16"/>
                <w:szCs w:val="16"/>
                <w:i w:val="1"/>
                <w:iCs w:val="1"/>
                <w:color w:val="auto"/>
                <w:w w:val="98"/>
              </w:rPr>
              <w:t>(I.R.S. Employer Identification No.)</w:t>
            </w:r>
          </w:p>
        </w:tc>
      </w:tr>
      <w:tr>
        <w:trPr>
          <w:trHeight w:val="411"/>
        </w:trPr>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2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1201 Wilson Blvd</w:t>
            </w:r>
          </w:p>
        </w:tc>
      </w:tr>
      <w:tr>
        <w:trPr>
          <w:trHeight w:val="239"/>
        </w:trPr>
        <w:tc>
          <w:tcPr>
            <w:tcW w:w="1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60" w:type="dxa"/>
            <w:vAlign w:val="bottom"/>
          </w:tcPr>
          <w:p>
            <w:pPr>
              <w:ind w:left="1160"/>
              <w:spacing w:after="0"/>
              <w:rPr>
                <w:sz w:val="20"/>
                <w:szCs w:val="20"/>
                <w:color w:val="auto"/>
              </w:rPr>
            </w:pPr>
            <w:r>
              <w:rPr>
                <w:rFonts w:ascii="Times New Roman" w:cs="Times New Roman" w:eastAsia="Times New Roman" w:hAnsi="Times New Roman"/>
                <w:sz w:val="16"/>
                <w:szCs w:val="16"/>
                <w:b w:val="1"/>
                <w:bCs w:val="1"/>
                <w:color w:val="auto"/>
              </w:rPr>
              <w:t>Arlington</w:t>
            </w: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VA  22209</w:t>
            </w:r>
          </w:p>
        </w:tc>
      </w:tr>
    </w:tbl>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w:t>
      </w:r>
      <w:r>
        <w:rPr>
          <w:rFonts w:ascii="Times New Roman" w:cs="Times New Roman" w:eastAsia="Times New Roman" w:hAnsi="Times New Roman"/>
          <w:sz w:val="15"/>
          <w:szCs w:val="15"/>
          <w:i w:val="1"/>
          <w:iCs w:val="1"/>
          <w:color w:val="auto"/>
        </w:rPr>
        <w:t>dress of principal executive offices) (Zip Code)</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 346-6500</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04"/>
        </w:trPr>
        <w:tc>
          <w:tcPr>
            <w:tcW w:w="246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67"/>
        </w:trPr>
        <w:tc>
          <w:tcPr>
            <w:tcW w:w="4640" w:type="dxa"/>
            <w:vAlign w:val="bottom"/>
            <w:gridSpan w:val="3"/>
          </w:tcPr>
          <w:p>
            <w:pPr>
              <w:jc w:val="center"/>
              <w:ind w:left="1401"/>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520" w:type="dxa"/>
            <w:vAlign w:val="bottom"/>
          </w:tcPr>
          <w:p>
            <w:pPr>
              <w:spacing w:after="0"/>
              <w:rPr>
                <w:sz w:val="23"/>
                <w:szCs w:val="2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4"/>
              </w:rPr>
              <w:t>CSGP</w:t>
            </w:r>
          </w:p>
        </w:tc>
        <w:tc>
          <w:tcPr>
            <w:tcW w:w="26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bl>
    <w:p>
      <w:pPr>
        <w:spacing w:after="0" w:line="203" w:lineRule="exact"/>
        <w:rPr>
          <w:sz w:val="24"/>
          <w:szCs w:val="24"/>
          <w:color w:val="auto"/>
        </w:rPr>
      </w:pPr>
    </w:p>
    <w:p>
      <w:pPr>
        <w:spacing w:after="0" w:line="307"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89"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9"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1360" w:type="dxa"/>
        <w:tblCellMar>
          <w:top w:w="0" w:type="dxa"/>
          <w:left w:w="0" w:type="dxa"/>
          <w:bottom w:w="0" w:type="dxa"/>
          <w:right w:w="0" w:type="dxa"/>
        </w:tblCellMar>
      </w:tblPr>
      <w:tr>
        <w:trPr>
          <w:trHeight w:val="26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760"/>
              <w:spacing w:after="0"/>
              <w:rPr>
                <w:sz w:val="20"/>
                <w:szCs w:val="20"/>
                <w:color w:val="auto"/>
              </w:rPr>
            </w:pPr>
            <w:r>
              <w:rPr>
                <w:rFonts w:ascii="Wingdings" w:cs="Wingdings" w:eastAsia="Wingdings" w:hAnsi="Wingdings"/>
                <w:sz w:val="16"/>
                <w:szCs w:val="16"/>
                <w:b w:val="1"/>
                <w:bCs w:val="1"/>
                <w:color w:val="auto"/>
              </w:rPr>
              <w:t>x</w:t>
            </w: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6"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7" w:lineRule="exact"/>
        <w:rPr>
          <w:sz w:val="24"/>
          <w:szCs w:val="24"/>
          <w:color w:val="auto"/>
        </w:rPr>
      </w:pPr>
    </w:p>
    <w:p>
      <w:pPr>
        <w:ind w:right="3120"/>
        <w:spacing w:after="0" w:line="3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w:t>
      </w:r>
      <w:r>
        <w:rPr>
          <w:rFonts w:ascii="Times New Roman" w:cs="Times New Roman" w:eastAsia="Times New Roman" w:hAnsi="Times New Roman"/>
          <w:sz w:val="17"/>
          <w:szCs w:val="17"/>
          <w:color w:val="auto"/>
        </w:rPr>
        <w:t>July 21, 2025</w:t>
      </w:r>
      <w:r>
        <w:rPr>
          <w:rFonts w:ascii="Times New Roman" w:cs="Times New Roman" w:eastAsia="Times New Roman" w:hAnsi="Times New Roman"/>
          <w:sz w:val="16"/>
          <w:szCs w:val="16"/>
          <w:color w:val="auto"/>
        </w:rPr>
        <w:t>, there were 423,650,362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Glossary of Terms</w:t>
            </w:r>
          </w:p>
        </w:tc>
        <w:tc>
          <w:tcPr>
            <w:tcW w:w="6580" w:type="dxa"/>
            <w:vAlign w:val="bottom"/>
            <w:gridSpan w:val="13"/>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200" w:type="dxa"/>
            <w:vAlign w:val="bottom"/>
          </w:tcPr>
          <w:p>
            <w:pPr>
              <w:spacing w:after="0"/>
              <w:rPr>
                <w:sz w:val="17"/>
                <w:szCs w:val="17"/>
                <w:color w:val="auto"/>
              </w:rPr>
            </w:pPr>
          </w:p>
        </w:tc>
      </w:tr>
      <w:tr>
        <w:trPr>
          <w:trHeight w:val="339"/>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68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rPr>
              <w:t>5</w:t>
            </w:r>
          </w:p>
        </w:tc>
        <w:tc>
          <w:tcPr>
            <w:tcW w:w="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300" w:type="dxa"/>
            <w:vAlign w:val="bottom"/>
            <w:gridSpan w:val="8"/>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68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rPr>
              <w:t>6</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40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Changes in Stockholders’ Equity</w:t>
            </w:r>
          </w:p>
        </w:tc>
        <w:tc>
          <w:tcPr>
            <w:tcW w:w="274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4240" w:type="dxa"/>
            <w:vAlign w:val="bottom"/>
            <w:gridSpan w:val="7"/>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10</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68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color w:val="0000FF"/>
                <w:w w:val="99"/>
              </w:rPr>
              <w:t>12</w:t>
            </w:r>
          </w:p>
        </w:tc>
        <w:tc>
          <w:tcPr>
            <w:tcW w:w="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8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color w:val="0000FF"/>
                <w:w w:val="99"/>
              </w:rPr>
              <w:t>43</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40" w:type="dxa"/>
            <w:vAlign w:val="bottom"/>
            <w:tcBorders>
              <w:top w:val="single" w:sz="8" w:color="0000FF"/>
            </w:tcBorders>
            <w:gridSpan w:val="3"/>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58</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8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color w:val="0000FF"/>
                <w:w w:val="99"/>
              </w:rPr>
              <w:t>59</w:t>
            </w:r>
          </w:p>
        </w:tc>
        <w:tc>
          <w:tcPr>
            <w:tcW w:w="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6580" w:type="dxa"/>
            <w:vAlign w:val="bottom"/>
            <w:gridSpan w:val="13"/>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60</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000" w:type="dxa"/>
            <w:vAlign w:val="bottom"/>
            <w:gridSpan w:val="15"/>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60</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42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620" w:type="dxa"/>
            <w:vAlign w:val="bottom"/>
            <w:gridSpan w:val="5"/>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62</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7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62</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7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8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color w:val="0000FF"/>
                <w:w w:val="99"/>
              </w:rPr>
              <w:t>62</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3"/>
          </w:tcPr>
          <w:p>
            <w:pPr>
              <w:spacing w:after="0"/>
              <w:rPr>
                <w:sz w:val="24"/>
                <w:szCs w:val="24"/>
                <w:color w:val="auto"/>
              </w:rPr>
            </w:pPr>
          </w:p>
        </w:tc>
        <w:tc>
          <w:tcPr>
            <w:tcW w:w="6160" w:type="dxa"/>
            <w:vAlign w:val="bottom"/>
            <w:gridSpan w:val="11"/>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62</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300" w:type="dxa"/>
            <w:vAlign w:val="bottom"/>
            <w:gridSpan w:val="16"/>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63</w:t>
            </w:r>
          </w:p>
        </w:tc>
        <w:tc>
          <w:tcPr>
            <w:tcW w:w="20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color w:val="0000FF"/>
                <w:w w:val="99"/>
              </w:rPr>
              <w:t>64</w:t>
            </w:r>
          </w:p>
        </w:tc>
        <w:tc>
          <w:tcPr>
            <w:tcW w:w="200" w:type="dxa"/>
            <w:vAlign w:val="bottom"/>
          </w:tcPr>
          <w:p>
            <w:pPr>
              <w:spacing w:after="0"/>
              <w:rPr>
                <w:sz w:val="24"/>
                <w:szCs w:val="24"/>
                <w:color w:val="auto"/>
              </w:rPr>
            </w:pPr>
          </w:p>
        </w:tc>
      </w:tr>
      <w:tr>
        <w:trPr>
          <w:trHeight w:val="710"/>
        </w:trPr>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gridSpan w:val="14"/>
          </w:tcPr>
          <w:p>
            <w:pPr>
              <w:ind w:left="428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284"/>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abbreviations or acronyms used in this Quarterly Report on Form 10-Q (this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Report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are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5755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Abbreviation or Acronym</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2024 Credit Agreement</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credit agreement the Company entered into on May 24, 2024</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2024 Form 10-K</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CoStar Group's Annual Report on Form 10-K for the year ended December 31, 2024 filed with</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SEC on February 19, 2025</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Australian dollars</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Assumed Matterport Plans</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Matterport 2021 Incentive Award Plan and Matterport, Inc. Amended and Restated 2011</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Incentive Plan assumed by CoStar Group in connection with the Matterport Acquisition</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AI</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Artificial Intelligence</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65"/>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BizBuySell Network</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BizBuySell.com and its network of business for-sale websites</w:t>
            </w:r>
          </w:p>
        </w:tc>
        <w:tc>
          <w:tcPr>
            <w:tcW w:w="0" w:type="dxa"/>
            <w:vAlign w:val="bottom"/>
          </w:tcPr>
          <w:p>
            <w:pPr>
              <w:spacing w:after="0"/>
              <w:rPr>
                <w:sz w:val="1"/>
                <w:szCs w:val="1"/>
                <w:color w:val="auto"/>
              </w:rPr>
            </w:pPr>
          </w:p>
        </w:tc>
      </w:tr>
      <w:tr>
        <w:trPr>
          <w:trHeight w:val="172"/>
        </w:trPr>
        <w:tc>
          <w:tcPr>
            <w:tcW w:w="2020" w:type="dxa"/>
            <w:vAlign w:val="bottom"/>
            <w:vMerge w:val="continue"/>
          </w:tcPr>
          <w:p>
            <w:pPr>
              <w:spacing w:after="0"/>
              <w:rPr>
                <w:sz w:val="14"/>
                <w:szCs w:val="14"/>
                <w:color w:val="auto"/>
              </w:rPr>
            </w:pPr>
          </w:p>
        </w:tc>
        <w:tc>
          <w:tcPr>
            <w:tcW w:w="7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CoStar Group Board of Directors</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CECL</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expected credit losses</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CoStar Group (also the</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CoStar Group, Inc., a Delaware corporation, one or more of its consolidated</w:t>
            </w:r>
          </w:p>
        </w:tc>
        <w:tc>
          <w:tcPr>
            <w:tcW w:w="0" w:type="dxa"/>
            <w:vAlign w:val="bottom"/>
          </w:tcPr>
          <w:p>
            <w:pPr>
              <w:spacing w:after="0"/>
              <w:rPr>
                <w:sz w:val="1"/>
                <w:szCs w:val="1"/>
                <w:color w:val="auto"/>
              </w:rPr>
            </w:pPr>
          </w:p>
        </w:tc>
      </w:tr>
      <w:tr>
        <w:trPr>
          <w:trHeight w:val="212"/>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“Company,” “we,” “us,” or</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 or operating segments, or the entirety of CoStar Group, Inc. and its consolidated</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“our”)</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CoStar Group Share</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share of the common stock of the Company, par value $0.01 per share</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CRI</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CoStar Realty Information, Inc., a Delaware corporation and wholly owned</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subsidiary (and primary operating entity in the United States) of CoStar Group, Inc.</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Domain</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Domain Holdings Australia Limited</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Domain Proposal</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The Company’s non-binding indicative proposal to acquire 100% of the issued capital of Domain</w:t>
            </w:r>
          </w:p>
        </w:tc>
        <w:tc>
          <w:tcPr>
            <w:tcW w:w="0" w:type="dxa"/>
            <w:vAlign w:val="bottom"/>
          </w:tcPr>
          <w:p>
            <w:pPr>
              <w:spacing w:after="0"/>
              <w:rPr>
                <w:sz w:val="1"/>
                <w:szCs w:val="1"/>
                <w:color w:val="auto"/>
              </w:rPr>
            </w:pPr>
          </w:p>
        </w:tc>
      </w:tr>
      <w:tr>
        <w:trPr>
          <w:trHeight w:val="212"/>
        </w:trPr>
        <w:tc>
          <w:tcPr>
            <w:tcW w:w="202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way of scheme of arrangement for a cash consideration of A$4.43 per ordinary share of</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Domain</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Domain SID</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Company's binding Scheme Implementation Deed to acquire 100% of the issued capital of</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Domain for a cash consideration of A$4.43 per ordinary share of Domain</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Domain Transaction</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transactions entered into by the Company to acquire Domain pursuant to the Domain SID.</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DSUs</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Stock Units</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 before interest income or expense, net; other income or expense, net; loss on</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debt extinguishment; income taxes; depreciation; and amortization</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EURIBOR</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 Interbank Offered Rate</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GILTI</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Global intangible low taxed income inclusion</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Homes.com</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flagship brand of our North American residential products and a homes for-sale listings site,</w:t>
            </w:r>
          </w:p>
        </w:tc>
        <w:tc>
          <w:tcPr>
            <w:tcW w:w="0" w:type="dxa"/>
            <w:vAlign w:val="bottom"/>
          </w:tcPr>
          <w:p>
            <w:pPr>
              <w:spacing w:after="0"/>
              <w:rPr>
                <w:sz w:val="1"/>
                <w:szCs w:val="1"/>
                <w:color w:val="auto"/>
              </w:rPr>
            </w:pPr>
          </w:p>
        </w:tc>
      </w:tr>
      <w:tr>
        <w:trPr>
          <w:trHeight w:val="212"/>
        </w:trPr>
        <w:tc>
          <w:tcPr>
            <w:tcW w:w="202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which manages workflow and marketing for residential real estate agents and brokers and allows</w:t>
            </w:r>
          </w:p>
        </w:tc>
        <w:tc>
          <w:tcPr>
            <w:tcW w:w="0" w:type="dxa"/>
            <w:vAlign w:val="bottom"/>
          </w:tcPr>
          <w:p>
            <w:pPr>
              <w:spacing w:after="0"/>
              <w:rPr>
                <w:sz w:val="1"/>
                <w:szCs w:val="1"/>
                <w:color w:val="auto"/>
              </w:rPr>
            </w:pPr>
          </w:p>
        </w:tc>
      </w:tr>
      <w:tr>
        <w:trPr>
          <w:trHeight w:val="212"/>
        </w:trPr>
        <w:tc>
          <w:tcPr>
            <w:tcW w:w="202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homebuyers to view residential property listings, research communities, and connect with real</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 agents and brokers</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Land.com Network</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network of sites featuring rural lands for sale including Land.com, LandsofAmerica,</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LandAndFarm, and LandWatch</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Matching RSUs</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Awards of matching restricted stock units awarded under the Company's Management Stock</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Plan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47" w:right="1440" w:bottom="1440" w:gutter="0" w:footer="0" w:header="0"/>
        </w:sectPr>
      </w:pPr>
    </w:p>
    <w:p>
      <w:pPr>
        <w:spacing w:after="0" w:line="2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04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Abbreviation or Acronym</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Matterport, LLC, formerly known as Matterport Inc., a Delaware corporation and</w:t>
            </w:r>
          </w:p>
        </w:tc>
      </w:tr>
      <w:tr>
        <w:trPr>
          <w:trHeight w:val="212"/>
        </w:trPr>
        <w:tc>
          <w:tcPr>
            <w:tcW w:w="204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provider of a technology platform that uses spatial data to transform physical buildings and spaces</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into dimensionally accurate, digital images</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 Acquisition</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CoStar's acquisition of Matterport completed on February 28, 2025, pursuant to the Matterport</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Agreement</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 Common Stock</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Matterport Class A common stock, par value $0.0001 per share</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 Merger</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ratio of 0.03552 which was determined by the Matterport Merger Agreement and was set on the</w:t>
            </w:r>
          </w:p>
        </w:tc>
      </w:tr>
      <w:tr>
        <w:trPr>
          <w:trHeight w:val="212"/>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collar floor as the volume-weighted average price at which the CoStar Group Shares traded on the</w:t>
            </w:r>
          </w:p>
        </w:tc>
      </w:tr>
      <w:tr>
        <w:trPr>
          <w:trHeight w:val="212"/>
        </w:trPr>
        <w:tc>
          <w:tcPr>
            <w:tcW w:w="204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Nasdaq Global Select Market for the 20 consecutive Trading Days was below the Floor Price of a</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symmetrical collar of $77.42</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 Merger</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Agreement and Plan of Merger dated as of April 21, 2024, by and among the Company,</w:t>
            </w:r>
          </w:p>
        </w:tc>
      </w:tr>
      <w:tr>
        <w:trPr>
          <w:trHeight w:val="212"/>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Matterport, Merger Sub I, and Merger Sub II, pursuant to which the Company completed the</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Matterport Acquisition</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Sub I</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Matrix Merger Sub, Inc., a Delaware corporation and wholly owned subsidiary of the Company</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Sub II</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Matrix Merger Sub II LLC, a Delaware limited liability company and wholly owned subsidiary of</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Company</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MLS</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Multiple listing services</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MSPP</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Stock Purchase Plan</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OBBBA</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One Big Beautiful Bill Act signed into law on July 4, 2025</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OnTheMarket</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OnTheMarket Limited, the operator of onthemarket.com, a U.K. residential</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portal</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Right-of-use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U.S. Securities and Exchange Commission</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2.800% notes issued by CoStar Group, Inc. due July 15, 2030</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SONIA</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Sterling Overnight Index Average</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stock repurchase program the Board of Directors approved in February 2025 that authorizes</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repurchase of up to $500 million CoStar Group Shares</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STR LLC, together with STR Global Ltd, is a global data and analytics company</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that specializes in benchmarking hotel performance and providing market insights to the industry</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Ten-X</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Ten-X Holding Company, Inc. and its directly and indirectly owned subsidiaries</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SOFR</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forward-looking SOFR term rates administered by CME Group Benchmark Administration</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Limited</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United Kingdom of Great Britain and Northern Ireland</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United States of America</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Visual Lease</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Visual Lease, LLC, a Delaware limited liability company and operator of Visual</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a SaaS platform for integrated lease management and lease accounting</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Visual Lease Acquisition</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CoStar's acquisition of all of the outstanding equity interest in Visual Lease completed on</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1, 2024, pursuant to the Visual Lease Merger Agreement</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Visual Lease Merger</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Agreement and Plan of Merger dated as of October 18, 2024, between CRI; Neptune Merger</w:t>
            </w:r>
          </w:p>
        </w:tc>
      </w:tr>
      <w:tr>
        <w:trPr>
          <w:trHeight w:val="212"/>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  Visual  Lease,  LLC;  and  Shareholder  Representative  Services  LLC  as  the  Holder</w:t>
            </w:r>
          </w:p>
        </w:tc>
      </w:tr>
      <w:tr>
        <w:trPr>
          <w:trHeight w:val="212"/>
        </w:trPr>
        <w:tc>
          <w:tcPr>
            <w:tcW w:w="204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Representative, pursuant to which, among other things, and subject to its terms, Neptune Merger</w:t>
            </w:r>
          </w:p>
        </w:tc>
      </w:tr>
      <w:tr>
        <w:trPr>
          <w:trHeight w:val="212"/>
        </w:trPr>
        <w:tc>
          <w:tcPr>
            <w:tcW w:w="204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 merged with and into Visual Lease with Visual Lease surviving the merger as a wholly-</w:t>
            </w:r>
          </w:p>
        </w:tc>
      </w:tr>
      <w:tr>
        <w:trPr>
          <w:trHeight w:val="231"/>
        </w:trPr>
        <w:tc>
          <w:tcPr>
            <w:tcW w:w="204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subsidiary of the CRI</w:t>
            </w:r>
          </w:p>
        </w:tc>
      </w:tr>
      <w:tr>
        <w:trPr>
          <w:trHeight w:val="702"/>
        </w:trPr>
        <w:tc>
          <w:tcPr>
            <w:tcW w:w="2040" w:type="dxa"/>
            <w:vAlign w:val="bottom"/>
          </w:tcPr>
          <w:p>
            <w:pPr>
              <w:spacing w:after="0"/>
              <w:rPr>
                <w:sz w:val="24"/>
                <w:szCs w:val="24"/>
                <w:color w:val="auto"/>
              </w:rPr>
            </w:pPr>
          </w:p>
        </w:tc>
        <w:tc>
          <w:tcPr>
            <w:tcW w:w="920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4</w:t>
            </w:r>
          </w:p>
        </w:tc>
      </w:tr>
      <w:tr>
        <w:trPr>
          <w:trHeight w:val="284"/>
        </w:trPr>
        <w:tc>
          <w:tcPr>
            <w:tcW w:w="204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5755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5005" cy="8255"/>
                    </a:xfrm>
                    <a:prstGeom prst="rect">
                      <a:avLst/>
                    </a:prstGeom>
                    <a:noFill/>
                  </pic:spPr>
                </pic:pic>
              </a:graphicData>
            </a:graphic>
          </wp:anchor>
        </w:drawing>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8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0" w:type="dxa"/>
            <w:vAlign w:val="bottom"/>
          </w:tcPr>
          <w:p>
            <w:pPr>
              <w:spacing w:after="0"/>
              <w:rPr>
                <w:sz w:val="1"/>
                <w:szCs w:val="1"/>
                <w:color w:val="auto"/>
              </w:rPr>
            </w:pP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5"/>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0" w:type="dxa"/>
            <w:vAlign w:val="bottom"/>
          </w:tcPr>
          <w:p>
            <w:pPr>
              <w:spacing w:after="0"/>
              <w:rPr>
                <w:sz w:val="1"/>
                <w:szCs w:val="1"/>
                <w:color w:val="auto"/>
              </w:rPr>
            </w:pPr>
          </w:p>
        </w:tc>
      </w:tr>
      <w:tr>
        <w:trPr>
          <w:trHeight w:val="265"/>
        </w:trPr>
        <w:tc>
          <w:tcPr>
            <w:tcW w:w="6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40"/>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3"/>
        </w:trPr>
        <w:tc>
          <w:tcPr>
            <w:tcW w:w="6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0" w:type="dxa"/>
            <w:vAlign w:val="bottom"/>
          </w:tcPr>
          <w:p>
            <w:pPr>
              <w:spacing w:after="0"/>
              <w:rPr>
                <w:sz w:val="1"/>
                <w:szCs w:val="1"/>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0"/>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outstanding shares - basic</w:t>
            </w: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outstanding shares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3"/>
        </w:trPr>
        <w:tc>
          <w:tcPr>
            <w:tcW w:w="6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6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6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25.9</w:t>
            </w:r>
          </w:p>
        </w:tc>
      </w:tr>
      <w:tr>
        <w:trPr>
          <w:trHeight w:val="24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5"/>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(4.5)</w:t>
            </w:r>
          </w:p>
        </w:tc>
      </w:tr>
      <w:tr>
        <w:trPr>
          <w:trHeight w:val="23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(4.5)</w:t>
            </w:r>
          </w:p>
        </w:tc>
      </w:tr>
      <w:tr>
        <w:trPr>
          <w:trHeight w:val="25"/>
        </w:trPr>
        <w:tc>
          <w:tcPr>
            <w:tcW w:w="6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8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808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4,681.0</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3"/>
        </w:trPr>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4,950.2</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39"/>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right-of-use assets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commission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wages and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Litigation accrual</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1,703.3</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8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0" w:type="dxa"/>
            <w:vAlign w:val="bottom"/>
          </w:tcPr>
          <w:p>
            <w:pPr>
              <w:spacing w:after="0"/>
              <w:rPr>
                <w:sz w:val="1"/>
                <w:szCs w:val="1"/>
                <w:color w:val="auto"/>
              </w:rPr>
            </w:pPr>
          </w:p>
        </w:tc>
      </w:tr>
      <w:tr>
        <w:trPr>
          <w:trHeight w:val="26"/>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047"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860" w:type="dxa"/>
            <w:vAlign w:val="bottom"/>
            <w:gridSpan w:val="4"/>
            <w:vMerge w:val="restart"/>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6"/>
                <w:szCs w:val="16"/>
                <w:color w:val="auto"/>
              </w:rPr>
            </w:pPr>
          </w:p>
        </w:tc>
        <w:tc>
          <w:tcPr>
            <w:tcW w:w="18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96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6"/>
                <w:szCs w:val="16"/>
                <w:color w:val="auto"/>
              </w:rPr>
            </w:pPr>
          </w:p>
        </w:tc>
        <w:tc>
          <w:tcPr>
            <w:tcW w:w="1520" w:type="dxa"/>
            <w:vAlign w:val="bottom"/>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6"/>
                <w:szCs w:val="16"/>
                <w:color w:val="auto"/>
              </w:rPr>
            </w:pPr>
          </w:p>
        </w:tc>
        <w:tc>
          <w:tcPr>
            <w:tcW w:w="98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6"/>
                <w:szCs w:val="16"/>
                <w:color w:val="auto"/>
              </w:rPr>
            </w:pPr>
          </w:p>
        </w:tc>
        <w:tc>
          <w:tcPr>
            <w:tcW w:w="1260" w:type="dxa"/>
            <w:vAlign w:val="bottom"/>
          </w:tcPr>
          <w:p>
            <w:pPr>
              <w:jc w:val="center"/>
              <w:ind w:right="52"/>
              <w:spacing w:after="0" w:line="193"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(Loss) Income</w:t>
            </w: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6"/>
        </w:trPr>
        <w:tc>
          <w:tcPr>
            <w:tcW w:w="2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0" w:type="dxa"/>
            <w:vAlign w:val="bottom"/>
          </w:tcPr>
          <w:p>
            <w:pPr>
              <w:spacing w:after="0"/>
              <w:rPr>
                <w:sz w:val="1"/>
                <w:szCs w:val="1"/>
                <w:color w:val="auto"/>
              </w:rPr>
            </w:pPr>
          </w:p>
        </w:tc>
      </w:tr>
      <w:tr>
        <w:trPr>
          <w:trHeight w:val="239"/>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9"/>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grants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9"/>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0"/>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repurchases under stock</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programs (0.2 million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Common stock issued for Matterport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2,328.2</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8,556.2</w:t>
            </w:r>
          </w:p>
        </w:tc>
        <w:tc>
          <w:tcPr>
            <w:tcW w:w="0" w:type="dxa"/>
            <w:vAlign w:val="bottom"/>
          </w:tcPr>
          <w:p>
            <w:pPr>
              <w:spacing w:after="0"/>
              <w:rPr>
                <w:sz w:val="1"/>
                <w:szCs w:val="1"/>
                <w:color w:val="auto"/>
              </w:rPr>
            </w:pPr>
          </w:p>
        </w:tc>
      </w:tr>
      <w:tr>
        <w:trPr>
          <w:trHeight w:val="25"/>
        </w:trPr>
        <w:tc>
          <w:tcPr>
            <w:tcW w:w="2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0"/>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0"/>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grants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0"/>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0"/>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repurchases under stock</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programs (0.6 million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1920" w:type="dxa"/>
            <w:vAlign w:val="bottom"/>
            <w:gridSpan w:val="4"/>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3"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6"/>
                <w:szCs w:val="16"/>
                <w:color w:val="auto"/>
              </w:rPr>
            </w:pPr>
          </w:p>
        </w:tc>
        <w:tc>
          <w:tcPr>
            <w:tcW w:w="100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16"/>
                <w:szCs w:val="16"/>
                <w:color w:val="auto"/>
              </w:rPr>
            </w:pPr>
          </w:p>
        </w:tc>
        <w:tc>
          <w:tcPr>
            <w:tcW w:w="1280" w:type="dxa"/>
            <w:vAlign w:val="bottom"/>
          </w:tcPr>
          <w:p>
            <w:pPr>
              <w:jc w:val="center"/>
              <w:ind w:right="72"/>
              <w:spacing w:after="0" w:line="193"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3"/>
        </w:trPr>
        <w:tc>
          <w:tcPr>
            <w:tcW w:w="376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0"/>
                <w:szCs w:val="20"/>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5"/>
        </w:trPr>
        <w:tc>
          <w:tcPr>
            <w:tcW w:w="3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grants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7,342.6</w:t>
            </w:r>
          </w:p>
        </w:tc>
        <w:tc>
          <w:tcPr>
            <w:tcW w:w="0" w:type="dxa"/>
            <w:vAlign w:val="bottom"/>
          </w:tcPr>
          <w:p>
            <w:pPr>
              <w:spacing w:after="0"/>
              <w:rPr>
                <w:sz w:val="1"/>
                <w:szCs w:val="1"/>
                <w:color w:val="auto"/>
              </w:rPr>
            </w:pPr>
          </w:p>
        </w:tc>
      </w:tr>
      <w:tr>
        <w:trPr>
          <w:trHeight w:val="23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grants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7,395.7</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19685</wp:posOffset>
            </wp:positionV>
            <wp:extent cx="2002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0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8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 loss expense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gains on investments and deal-contingent foreign currency forward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commissions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159"/>
        </w:trPr>
        <w:tc>
          <w:tcPr>
            <w:tcW w:w="8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and settlement of investments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equipment,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equipment, and other assets for new campuses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8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restricted stock to satisfy tax withholding obligations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 repurchase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 repayments of financing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8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 cash equivalents, and restricted cash</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4,919.5</w:t>
            </w:r>
          </w:p>
        </w:tc>
        <w:tc>
          <w:tcPr>
            <w:tcW w:w="0" w:type="dxa"/>
            <w:vAlign w:val="bottom"/>
          </w:tcPr>
          <w:p>
            <w:pPr>
              <w:spacing w:after="0"/>
              <w:rPr>
                <w:sz w:val="1"/>
                <w:szCs w:val="1"/>
                <w:color w:val="auto"/>
              </w:rPr>
            </w:pPr>
          </w:p>
        </w:tc>
      </w:tr>
      <w:tr>
        <w:trPr>
          <w:trHeight w:val="26"/>
        </w:trPr>
        <w:tc>
          <w:tcPr>
            <w:tcW w:w="8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6" w:right="339" w:bottom="1440" w:gutter="0" w:footer="0" w:header="0"/>
        </w:sectPr>
      </w:pPr>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type w:val="continuous"/>
        </w:sectPr>
      </w:pPr>
    </w:p>
    <w:bookmarkStart w:id="10" w:name="page11"/>
    <w:bookmarkEnd w:id="10"/>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19685</wp:posOffset>
            </wp:positionV>
            <wp:extent cx="2002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capital expenditures and non-cash landlord incentives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5"/>
        </w:trPr>
        <w:tc>
          <w:tcPr>
            <w:tcW w:w="8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1" w:name="page12"/>
    <w:bookmarkEnd w:id="11"/>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CoStar Group is a leading global provider of real estate information, analytics, online marketplaces, and 3D digital twin technology. The Company has created and compiled a standardized platform of real estate information and analytics and online marketplaces where industry professionals, consumers of real estate, and the related business communities can continuously interact and facilitate transactions by efficiently accessing and exchanging accurate and standardized real estate-related information. The Company's service offerings span all property types, including office, residential, retail, industrial, multifamily, land, mixed-use, and hospitality. The Company's services are typically distributed to its customers under subscription-based agreements that generally renew automatically and have a minimum term of one year. The Company operates within two operating segments, North America, which includes the U.S. and Canada, and International, which primarily includes Europe, Asia-Pacific, and Latin America.</w:t>
      </w:r>
    </w:p>
    <w:p>
      <w:pPr>
        <w:spacing w:after="0" w:line="1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completed the Visual Lease Acquisition and Matterport Acquisition in November 2024 and February 2025, respectively. See Note 5 for further discussion of these acquisitions.</w:t>
      </w:r>
    </w:p>
    <w:p>
      <w:pPr>
        <w:spacing w:after="0" w:line="135" w:lineRule="exact"/>
        <w:rPr>
          <w:sz w:val="20"/>
          <w:szCs w:val="20"/>
          <w:color w:val="auto"/>
        </w:rPr>
      </w:pPr>
    </w:p>
    <w:p>
      <w:pPr>
        <w:ind w:right="6320" w:firstLine="6"/>
        <w:spacing w:after="0" w:line="446" w:lineRule="auto"/>
        <w:tabs>
          <w:tab w:leader="none" w:pos="30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GAAP for interim financial information. In the opinion of the Company’s management, the financial statements reflect all adjustments, consisting only of a normal recurring nature, necessary to present fairly the Company’s financial position at June 30, 2025 and December 31, 2024, the results of its operations for the three and six months ended June 30, 2025 and 2024, its comprehensive income for the three and six months ended June 30, 2025 and 2024, its changes in stockholders' equity for the three and six months ended June 30, 2025 and 2024, and its cash flows for the six months ended June 30, 2025 and 2024.</w:t>
      </w:r>
    </w:p>
    <w:p>
      <w:pPr>
        <w:spacing w:after="0" w:line="14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Certain notes and other information have been condensed or omitted from the interim financial statements presented in this Report. Therefore, these financial statements should be read in conjunction with the Company’s 2024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allowance for credit losses, the useful lives and recoverability of long-lived and intangible assets, goodwill impairment assessment, income taxes, accounting for business combinations, stock-based compensation, estimating the Company's incremental borrowing rate for its leases, the estimate of net realizable value of inventory, the determination of stand-alone selling prices of various performance obligations,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revenues primarily by (i) providing access to its proprietary database of commercial real estate information, including benchmarking and analytics for the hospitality industry and analytics for lenders, and (ii) providing online marketplaces for professional property management companies, property owners, real estate agents and brokers, and landlords, in each case, typically through a fixed monthly fee for its subscription-based advertising services. Other subscription-</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services include (i) real estate and lease management solutions to commercial customers and real estate investors, (ii) access to applications to manage workflow for residential real estate agents, and (iii) access to its AI-powered spatial data platform to create high-fidelity and high-accuracy digital twins of physical spaces to generate valuable data, analytics, and insights for customers.</w:t>
      </w:r>
    </w:p>
    <w:p>
      <w:pPr>
        <w:spacing w:after="0" w:line="1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Subscription contract rates are generally based on the number of sites, number of users, organization size, the customer’s business focus, geography, the number of properties reported on or analyzed, the number and types of services to which a customer subscribes, the number of properties a customer advertises, the number of digital twins hosted, the number of transactions and average transaction size a broker or agent has closed, and the prominence and placement of a customer's advertised properties in the search results. The Company’s subscription-based license, advertising packages, and membership agreements generally renew automatically, and a majority have a term of at least one year. Revenues from subscription-based contracts were approximately 95% and 96% of total revenues for the three months ended June 30, 2025 and 2024, respectively, and approximately 96% and 96% of total revenues for the six months ended June 30, 2025 and 2024, respectively.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also derives revenues from transaction-based services including: (i) an online auction platform for commercial real estate through Ten-X,</w:t>
      </w:r>
    </w:p>
    <w:p>
      <w:pPr>
        <w:spacing w:after="0" w:line="36" w:lineRule="exact"/>
        <w:rPr>
          <w:sz w:val="20"/>
          <w:szCs w:val="20"/>
          <w:color w:val="auto"/>
        </w:rPr>
      </w:pPr>
    </w:p>
    <w:p>
      <w:pPr>
        <w:ind w:left="280" w:hanging="27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Matterport cameras and capture equipment, (iii) providing assistance with the data capture process to create digital twins through Matterport,</w:t>
      </w:r>
    </w:p>
    <w:p>
      <w:pPr>
        <w:spacing w:after="0" w:line="5" w:lineRule="exact"/>
        <w:rPr>
          <w:rFonts w:ascii="Times New Roman" w:cs="Times New Roman" w:eastAsia="Times New Roman" w:hAnsi="Times New Roman"/>
          <w:sz w:val="18"/>
          <w:szCs w:val="18"/>
          <w:color w:val="auto"/>
        </w:rPr>
      </w:pPr>
    </w:p>
    <w:p>
      <w:pPr>
        <w:ind w:right="20" w:firstLine="6"/>
        <w:spacing w:after="0" w:line="251" w:lineRule="auto"/>
        <w:tabs>
          <w:tab w:leader="none" w:pos="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online tenant applications, including background and credit checks, and rental payment processing, and (v) ancillary products and services that are sold on an ad hoc basis.</w:t>
      </w:r>
    </w:p>
    <w:p>
      <w:pPr>
        <w:spacing w:after="0" w:line="14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recognizes revenues upon the satisfaction of its performance obligation(s) (upon transfer of control of promised services to its customers) in an amount that reflects the consideration to which it expects to be entitled to in exchange for those services. Revenues from subscription-based services are recognized on a straight-line basis over the term of the agreement. Revenues from transaction-based services are recognized when the promised product or services are delivered, which, in the case of Ten-X auctions, is at the time of a successful closing for the sale of a property. Revenues from product sales are recognized upon control transferring to the customers, which is generally upon shipment. Revenue for sales of Matterport cameras are recorded net of estimates of returns, as buyers are entitled to return the camera within 30 days from the date of purchase for a full refund. These rights are accounted for as variable consideration and recognized as a reduction to the revenue recognized.</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limited circumstances, the Company's contracts with customers include promises to transfer multiple services, such as contracts for its subscription-based services and professional services or product sales, digital twin capture services, and subscription-based hosting service. For these contracts, the Company accounts for individual performance obligations separately if they are distinct, which involves the determination of the standalone selling price for each distinct performance obligation.</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Deferred revenue results from amounts billed in advance to customers or cash received from customers in advance of the Company's fulfillment of its performance obligation(s) and is recognized as those obligations are satisfied.</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sales commissions are considered incremental and recoverable costs of obtaining a contract with a customer. Sales commissions incurred for obtaining new contracts are deferred and then amortized as selling and marketing expenses (excluding customer base amortization) over the period of benefit that the Company has determined to be two years for our residential products and three years for all other products. The amortization periods were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3 for further discussion of the Company's revenue recognition.</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Cost of revenues principally consists of salaries, benefits, bonuses, stock-based compensation expenses, and other indirect costs for the Company's researchers who collect and analyze the real estate data that is the basis for the Company's information, analytic, and online marketplace services and for employees that support these products. Additionally, cost of revenues includes amortization of acquired trade names, technology, and certain other intangible assets; product hosting costs; credit card and other transaction fees relating to processing customer transactions; cost of data from third-party data sources; costs of capture services; costs of Matterport cameras sold; and costs related to advertising purchased on behalf of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for the majority of its operations is the local currency, with the exception of certain international locations for which the functional currency is the British Pound or U.S. dollar. Assets and liabilities denominated in a foreign currency are translated into U.S. dollars using the exchange rates in effect as of the balance sheet date. Gains and losses resulting from translation are included in accumulated other comprehensive loss. Currency g</w:t>
      </w:r>
      <w:r>
        <w:rPr>
          <w:rFonts w:ascii="Times New Roman" w:cs="Times New Roman" w:eastAsia="Times New Roman" w:hAnsi="Times New Roman"/>
          <w:sz w:val="18"/>
          <w:szCs w:val="18"/>
          <w:color w:val="252525"/>
        </w:rPr>
        <w:t>ains and losses on the translation of intercompany loans made to foreign subsidiaries that are of a 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investment nature are also included </w:t>
      </w:r>
      <w:r>
        <w:rPr>
          <w:rFonts w:ascii="Times New Roman" w:cs="Times New Roman" w:eastAsia="Times New Roman" w:hAnsi="Times New Roman"/>
          <w:sz w:val="18"/>
          <w:szCs w:val="18"/>
          <w:color w:val="000000"/>
        </w:rPr>
        <w:t>in accumulated other comprehensive loss. Gains and losses resulting from transactions denominated in a currency other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than the functional currency of the entity are included in other income (expense), net in the condensed consolidated statements of operations using the average exchange rates in effect during the period. The Company recognized a net foreign currency gain of $1.9 million for the three months ended June 30, 2025 and a negligible net foreign currency loss for the three months ended June 30, 2024. The Company recognized a net foreign currency gain of $7.0 million for the six months ended June 30, 2025 and a net foreign currency loss of $0.1 million for the six months ended June 30,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84"/>
        </w:trPr>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were as follows (in millions):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0"/>
        </w:trPr>
        <w:tc>
          <w:tcPr>
            <w:tcW w:w="80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8040" w:type="dxa"/>
            <w:vAlign w:val="bottom"/>
          </w:tcPr>
          <w:p>
            <w:pPr>
              <w:spacing w:after="0"/>
              <w:rPr>
                <w:sz w:val="20"/>
                <w:szCs w:val="20"/>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8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58"/>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112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8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amounts reclassified out of accumulated other comprehensive loss to the condensed consolidated statements of operations for the six months ended June 30,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Deferred income taxes result from temporary differences between the tax basis of assets and liabilities and the basis reported in the Company’s condensed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elected to record the GILTI under the current-period cost method.</w:t>
      </w:r>
    </w:p>
    <w:p>
      <w:pPr>
        <w:spacing w:after="0" w:line="17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4, 2025, the OBBBA was signed into law in the U.S. which contains a broad range of tax reform provisions affecting businesses. We are currently evaluating the impact of the OBBBA and expect the results of such evaluation to be reflected in our third quarter Form 10-Q.</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11 for further discussion of the Company's accounting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shares outstanding during the period on a basic and diluted basis.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(loss) per share (in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28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Denominator for basic net income (loss) per share — weighted-average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shares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4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restricted stock awards, and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0"/>
        </w:trPr>
        <w:tc>
          <w:tcPr>
            <w:tcW w:w="598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Denominator for diluted net income (loss) per share — weighted-average</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shares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potentially dilutive securities include outstanding stock options and unvested stock-based awards, which include restricted stock awards that vest over a specific service period, restricted stock awards with a performance condition, restricted stock awards with a performance condition and a market condition, restricted stock units, and Matching RSUs awarded under the MSPP. Shares underlying unvested restricted stock awards that vest based on a performance condition and those that vest based on a performance and market condition that have not been achieved as of the end of the period are not included in the computation of basic or diluted earnings per share. Diluted net income (loss) per share considers the impact of potentially dilutive securities except when the inclusion of the potentially dilutive securities would have an anti-dilutive effect.</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shares underlying the unvested performance-based restricted stock and anti-dilutive securities excluded from the basic and diluted earnings per share calculations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2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3"/>
        </w:trPr>
        <w:tc>
          <w:tcPr>
            <w:tcW w:w="6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left="792"/>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6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awards</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and directors of the Company are accounted for using a fair value-based method and the fair value of such equity instruments is recognized as expense in the condensed consolidated statements of operations.</w:t>
      </w:r>
    </w:p>
    <w:p>
      <w:pPr>
        <w:spacing w:after="0" w:line="12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a performance condition or both a performance and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w:t>
      </w: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probability of achieving the market condition to 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Stock-based compensation expense for stock options, restricted stock awards, and restricted stock units issued under equity incentive plans, stock purchases under the ESPP, and DSUs and Matching RSUs awarded under the MSPP included in the Company’s condensed consolidated statements of operations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r>
      <w:tr>
        <w:trPr>
          <w:trHeight w:val="26"/>
        </w:trPr>
        <w:tc>
          <w:tcPr>
            <w:tcW w:w="6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6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6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
        </w:trPr>
        <w:tc>
          <w:tcPr>
            <w:tcW w:w="6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
        </w:trPr>
        <w:tc>
          <w:tcPr>
            <w:tcW w:w="6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 and Litigation Expense</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is subject to the possibility of losses from various contingencies, including certain legal proceedings.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 If only a range of estimated losses can be determined, the Company records an amount within the range that, in its judgment, reflects the most likely outcome; if none of the estimates within that range are a better estimate than any other amount, the Company records the low end of the range. Any such accrual would be charged to expense in the appropriate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Deal-Contingent Foreign Currency Forward Contracts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May 9, 2025, the Company entered into deal-contingent foreign currency forward contracts to manage the risk of appreciation of the Australian dollar-denominated purchase price related to the Domain Transaction. Deal-contingent foreign currency forward contracts had an aggregate notional amount of A$2.4 billion ($1.5 billion). These derivative instruments were entered into as economic hedges and do not qualify for hedge accounting. The Company recognizes changes in the fair value of the deal-contingent foreign currency forward contracts in other income (expense), net, in the condensed consolidated statements of operations, and the related asset was recorded to prepaid expenses and other current assets in the condensed consolidated balance sheets. See Note 5. for further discussion regarding the Company's acquisitions.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Restricted cash consists of cash deposited as collateral related to a litigation bond in a third-party insured account. See Note 12 for further discussion regarding the Company's litigation.</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Cash, cash equivalents, and restricted cash within the condensed consolidated balance sheets and condensed consolidated statements of cash flows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 were as follows (in millions):</w:t>
      </w: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4,681.0</w:t>
            </w:r>
          </w:p>
        </w:tc>
      </w:tr>
      <w:tr>
        <w:trPr>
          <w:trHeight w:val="24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and reasonable and supportable forecasts. While the Company uses various credit quality metrics, it primarily monitors collectability by reviewing the duration of collection pursuits on its delinquent trade receivables and historical write-off trends. Based on the Company’s experience, the customer's delinquency status, which is analyzed periodically, is the strongest indicator of the credit quality of the underlying trade receivables. The Company’s policy is to write off trade receivables when they are deemed uncollectible.</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CECL impairment model, the Company develops and documents its allowance for credit losses on its trade receivables based on five portfolio segments. The determination of portfolio segments is based primarily on the qualitative consideration of the nature of the Company’s business operations and the characteristics of the underlying trade receivables, as follows:</w:t>
      </w:r>
    </w:p>
    <w:p>
      <w:pPr>
        <w:spacing w:after="0" w:line="136" w:lineRule="exact"/>
        <w:rPr>
          <w:sz w:val="20"/>
          <w:szCs w:val="20"/>
          <w:color w:val="auto"/>
        </w:rPr>
      </w:pPr>
    </w:p>
    <w:p>
      <w:pPr>
        <w:ind w:left="640" w:hanging="316"/>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CoStar Portfolio Segment </w:t>
      </w:r>
      <w:r>
        <w:rPr>
          <w:rFonts w:ascii="Times New Roman" w:cs="Times New Roman" w:eastAsia="Times New Roman" w:hAnsi="Times New Roman"/>
          <w:sz w:val="18"/>
          <w:szCs w:val="18"/>
          <w:color w:val="auto"/>
        </w:rPr>
        <w:t>- The CoStar portfolio segment consists of two classes of trade receivables based on geographical location: North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w:t>
      </w:r>
    </w:p>
    <w:p>
      <w:pPr>
        <w:spacing w:after="0" w:line="120"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Services Portfolio Segment </w:t>
      </w:r>
      <w:r>
        <w:rPr>
          <w:rFonts w:ascii="Times New Roman" w:cs="Times New Roman" w:eastAsia="Times New Roman" w:hAnsi="Times New Roman"/>
          <w:sz w:val="18"/>
          <w:szCs w:val="18"/>
          <w:color w:val="auto"/>
        </w:rPr>
        <w:t>- The Information Services portfolio segment consists of four classes of trade receivables: CoStar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Hospitality, North America; Hospitality, International, and other Information Services.</w:t>
      </w:r>
    </w:p>
    <w:p>
      <w:pPr>
        <w:spacing w:after="0" w:line="13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Multifamily Portfolio Segment </w:t>
      </w:r>
      <w:r>
        <w:rPr>
          <w:rFonts w:ascii="Times New Roman" w:cs="Times New Roman" w:eastAsia="Times New Roman" w:hAnsi="Times New Roman"/>
          <w:sz w:val="18"/>
          <w:szCs w:val="18"/>
          <w:color w:val="auto"/>
        </w:rPr>
        <w:t>- The Multifamily portfolio segment consists of one class of trade receivables.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LoopNet Portfolio Segment </w:t>
      </w:r>
      <w:r>
        <w:rPr>
          <w:rFonts w:ascii="Times New Roman" w:cs="Times New Roman" w:eastAsia="Times New Roman" w:hAnsi="Times New Roman"/>
          <w:sz w:val="18"/>
          <w:szCs w:val="18"/>
          <w:color w:val="auto"/>
        </w:rPr>
        <w:t>- The LoopNet portfolio segment consists of one class of trade receivables.</w:t>
      </w:r>
    </w:p>
    <w:p>
      <w:pPr>
        <w:spacing w:after="0" w:line="177"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Revenues Portfolio Segment </w:t>
      </w:r>
      <w:r>
        <w:rPr>
          <w:rFonts w:ascii="Times New Roman" w:cs="Times New Roman" w:eastAsia="Times New Roman" w:hAnsi="Times New Roman"/>
          <w:sz w:val="18"/>
          <w:szCs w:val="18"/>
          <w:color w:val="auto"/>
        </w:rPr>
        <w:t>- The Other Revenues portfolio segment consists of two classes of trade receivables: Matterport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marketplaces.</w:t>
      </w:r>
    </w:p>
    <w:p>
      <w:pPr>
        <w:spacing w:after="0" w:line="135" w:lineRule="exact"/>
        <w:rPr>
          <w:sz w:val="20"/>
          <w:szCs w:val="20"/>
          <w:color w:val="auto"/>
        </w:rPr>
      </w:pPr>
    </w:p>
    <w:p>
      <w:pPr>
        <w:ind w:left="320" w:firstLine="318"/>
        <w:spacing w:after="0" w:line="274" w:lineRule="auto"/>
        <w:rPr>
          <w:sz w:val="20"/>
          <w:szCs w:val="20"/>
          <w:color w:val="auto"/>
        </w:rPr>
      </w:pPr>
      <w:r>
        <w:rPr>
          <w:rFonts w:ascii="Times New Roman" w:cs="Times New Roman" w:eastAsia="Times New Roman" w:hAnsi="Times New Roman"/>
          <w:sz w:val="18"/>
          <w:szCs w:val="18"/>
          <w:color w:val="auto"/>
        </w:rPr>
        <w:t>The majority of Residential revenue is e-commerce based and does not result in accounts receivable. Residential accounts receivable and the related allowance for credit losses are not material.</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4 for further discussion of the Company’s accounting for allowance for credit losses.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Inventories consist primarily of finished goods, assemblies, and raw materials. Assemblies are generally purchased from contract manufacturers. Inventories are valued at the lower of cost or net realizable value. Costs are determined using standard cost, which approximates actual cost on a first-in, first-out basis. The Company assesses the valuation of inventory and periodically adjusts the value for estimated excess and obsolete inventory based upon estimates of future demand and market conditions, as well as damaged or otherwise impaired goods. Inventories are included in prepaid expenses and other current assets on the Company's condensed consolidated balance sheets.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Inventories related to the Matterport Acquisition as of June 30, 2025 consisted of the following (in millions):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5"/>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parts and raw materials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determination of whether an arrangement contains a lease and the classification of a lease, if applicable, is made at the commencement of the arrangement, at which time the Company also measures and recognizes a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12 months or less. The lease term is defined as the noncancellable portion of the lease term, plus any periods covered by an option to extend the lease if it is reasonably certain that the option will be exercised.</w:t>
      </w:r>
    </w:p>
    <w:p>
      <w:pPr>
        <w:spacing w:after="0" w:line="15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and is subsequently reassessed upon a modification to the lease arrangement.</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Lease costs related to the Company's operating leases are generally recognized as a single ratable lease cost over the lease term.</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7 for further discussion of the Company’s accounting for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holds an investment in publicly held equity securities in which the Company does not have a controlling interest or exercise significant influence. The equity securities are included in the Equity investment caption on the condensed consolidated balance sheets and are measured at fair value with changes recorded through other income (expense), net on the condensed consolidated statements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Intangible Assets, and Goodwill</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The Company capitalizes interest on borrowings during the active construction period of major capital projects. Capitalized interest is added to the cost of the underlying asset and amortized over the estimated useful life of the asset.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Goodwill is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rate, growth rate, and future financial performance. Assumptions about the discount rate are based on a weighted-average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Operations and Other Income (Expense), Net</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2024, the Company closed on the purchase of an office tower and the land on which it rests in Arlington, Virginia. In January 2025, the Company relocated its headquarters from Washington, D.C. to Arlington, VA, initially occupying approximately 30% of the building. The Company intends to build out further space in this building to support anticipated growth and expansion of its operations in the coming years. Maintenance, physical facilities, leasing, property management, and other key responsibilities related to property ownership are outsourced to professional real-estate managers. The office tower measures approximately 550,000 rentable square feet.</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accounted for the purchase of this building as an asset acquisition at the cost to acquire, including transaction costs. The Company estimated the fair values of acquired tangible assets (consisting of land, buildings, improvements, and other assets), identified intangible assets and liabilities (consisting of in-place leases and above- and below-market leases), and other liabilities based on its evaluation of information and estimates available at the date of acquisition. Based on these estimates, the Company allocated the total cost to the identified assets acquired and liabilities assumed based on their relative fair value.</w:t>
      </w:r>
    </w:p>
    <w:p>
      <w:pPr>
        <w:spacing w:after="0" w:line="1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fair value of the building and building improvements consists of the physical structure containing rentable area, as well as amenities such as parking structures, and was valued as if vacant, using the cost approach, which uses replacement cost data obtained from industry recognized guides less depreciation as an input to estimate the fair value, with consideration given to its age, functionality, use classification, construction quality, replacement cost, and accumulated depreciation (effective age vs. economic life). The Company also considered the value of the building using an income approach. The income approach uses market leasing assumptions to estimate the fair value of the property as if vacant, assuming lease-up at prevailing market rental rates over a market-based lease-up period, including deductions for lost-rent during lease-up and leasing costs. The cost and income approaches are reconciled to arrive at an estimated building fair value. The Company assessed the fair value of land based on market comparisons.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identified intangible assets and liabilities were determined based on the following:</w:t>
      </w:r>
    </w:p>
    <w:p>
      <w:pPr>
        <w:spacing w:after="0" w:line="177" w:lineRule="exact"/>
        <w:rPr>
          <w:sz w:val="20"/>
          <w:szCs w:val="20"/>
          <w:color w:val="auto"/>
        </w:rPr>
      </w:pPr>
    </w:p>
    <w:p>
      <w:pPr>
        <w:jc w:val="both"/>
        <w:ind w:left="640" w:hanging="316"/>
        <w:spacing w:after="0" w:line="269"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allocable to the above- or below-market component of an acquired in-place lease is determined based upon the present value (using a discount rate that reflects the risks associated with the acquired lease) of the difference between: (i) the contractual amounts to be received pursuant to the lease over its remaining term and (ii) management's estimate of the amounts that would be received using market rates current at the time of the acquisition for the remaining term of the lease. Amounts allocated to above-market leases are recorded as above-market leases in intangible assets, net in the condensed consolidated balance sheets. These intangible assets are amortized on a straight-line basis as a component of leasing operations to other income (expense), net in the condensed consolidated statements of operations over the remaining terms of the respective leases.</w:t>
      </w:r>
    </w:p>
    <w:p>
      <w:pPr>
        <w:spacing w:after="0" w:line="129" w:lineRule="exact"/>
        <w:rPr>
          <w:rFonts w:ascii="Times New Roman" w:cs="Times New Roman" w:eastAsia="Times New Roman" w:hAnsi="Times New Roman"/>
          <w:sz w:val="17"/>
          <w:szCs w:val="17"/>
          <w:color w:val="auto"/>
        </w:rPr>
      </w:pPr>
    </w:p>
    <w:p>
      <w:pPr>
        <w:jc w:val="both"/>
        <w:ind w:left="640" w:hanging="316"/>
        <w:spacing w:after="0" w:line="25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considered in determining the value allocable to in-place leases during hypothetical lease-up periods related to space that is leased at the time of acquisition include: (i) lost rent and operating cost recoveries during the hypothetical lease-up period and (ii) theoretical leasing commissions required to execute similar leases. These intangible assets are recorded as in-place leases in intangible assets, net in the condensed consolidated balance sheets and are amortized to other income (expense), net in the condensed consolidated statements of operations over the remaining terms of the existing leases.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total cost of the land and building was $343.0 million and was allocated to the following components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5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440" w:type="dxa"/>
            <w:vAlign w:val="bottom"/>
          </w:tcPr>
          <w:p>
            <w:pPr>
              <w:spacing w:after="0"/>
              <w:rPr>
                <w:sz w:val="20"/>
                <w:szCs w:val="20"/>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
        </w:trPr>
        <w:tc>
          <w:tcPr>
            <w:tcW w:w="348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5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5"/>
        </w:trPr>
        <w:tc>
          <w:tcPr>
            <w:tcW w:w="34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 improvements</w:t>
            </w:r>
          </w:p>
        </w:tc>
        <w:tc>
          <w:tcPr>
            <w:tcW w:w="5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Above-market leases</w:t>
            </w:r>
          </w:p>
        </w:tc>
        <w:tc>
          <w:tcPr>
            <w:tcW w:w="5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5"/>
        </w:trPr>
        <w:tc>
          <w:tcPr>
            <w:tcW w:w="34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5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3"/>
        </w:trPr>
        <w:tc>
          <w:tcPr>
            <w:tcW w:w="34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6"/>
        </w:trPr>
        <w:tc>
          <w:tcPr>
            <w:tcW w:w="34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The cash paid for this asset acquisition was included in the caption purchases of property, equipment, and other assets for new campuses in the condensed consolidated statement of cash flows. The Company records the activity from this building's operations and leases, including building depreciation and operating expenses for space occupied by third parties, as other income (expense), net in the condensed consolidated statements of operations.</w:t>
      </w:r>
    </w:p>
    <w:p>
      <w:pPr>
        <w:spacing w:after="0" w:line="132"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In October 2024, the Company and a building tenant modified a lease agreement to reduce the leased space and extend the lease term of a portion of the remaining space. Among other provisions, the modified lease agreement requires the tenant to make a $48 million buyout payment, in two equal installments, which will be recognized prospectively over the modified lease term. The Company received the first installment of the buyout payment in the fourth quarter of 2024. The second installment of the buyout payment was received in the second quarter of 2025. The tenant surrendered certain space concurrently with the execution of the modified lease agreement and the Company began to outfit this space to host its employees.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Deferred lease income as of June 30, 2025 and December 31, 2024 was as follows (in millions):</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264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54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5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
        </w:trPr>
        <w:tc>
          <w:tcPr>
            <w:tcW w:w="26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lease income</w:t>
            </w:r>
          </w:p>
        </w:tc>
        <w:tc>
          <w:tcPr>
            <w:tcW w:w="5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100" w:firstLine="318"/>
        <w:spacing w:after="0" w:line="249" w:lineRule="auto"/>
        <w:rPr>
          <w:sz w:val="20"/>
          <w:szCs w:val="20"/>
          <w:color w:val="auto"/>
        </w:rPr>
      </w:pPr>
      <w:r>
        <w:rPr>
          <w:rFonts w:ascii="Times New Roman" w:cs="Times New Roman" w:eastAsia="Times New Roman" w:hAnsi="Times New Roman"/>
          <w:sz w:val="18"/>
          <w:szCs w:val="18"/>
          <w:color w:val="auto"/>
        </w:rPr>
        <w:t>Lease income includes base rent each tenant pays in accordance with the terms of its respective lease and is reported on a straight-line basis over the non-cancellable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included as part of the lease term. Further, lease income includes tenant reimbursement amounts for the recovery of the operating expenses and real estate taxes.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“lease income,” as variable lease income in the same period as the related expenses are incurred. Variable lease income was not material for the three months ended June 30, 2025. Components of other income (expense), net related to leasing operations for the three months ended June 30, 2025 and 2024 were as follows (in millions):</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530"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6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0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income</w:t>
            </w:r>
            <w:r>
              <w:rPr>
                <w:rFonts w:ascii="Times New Roman" w:cs="Times New Roman" w:eastAsia="Times New Roman" w:hAnsi="Times New Roman"/>
                <w:sz w:val="22"/>
                <w:szCs w:val="22"/>
                <w:color w:val="auto"/>
                <w:vertAlign w:val="superscript"/>
              </w:rPr>
              <w:t>(1)</w:t>
            </w:r>
          </w:p>
        </w:tc>
        <w:tc>
          <w:tcPr>
            <w:tcW w:w="840" w:type="dxa"/>
            <w:vAlign w:val="bottom"/>
            <w:tcBorders>
              <w:top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2"/>
                <w:szCs w:val="22"/>
                <w:color w:val="auto"/>
              </w:rPr>
            </w:pPr>
          </w:p>
        </w:tc>
        <w:tc>
          <w:tcPr>
            <w:tcW w:w="82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80" w:type="dxa"/>
            <w:vAlign w:val="bottom"/>
          </w:tcPr>
          <w:p>
            <w:pPr>
              <w:spacing w:after="0"/>
              <w:rPr>
                <w:sz w:val="22"/>
                <w:szCs w:val="22"/>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2"/>
                <w:szCs w:val="22"/>
                <w:color w:val="auto"/>
              </w:rPr>
            </w:pPr>
          </w:p>
        </w:tc>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7"/>
              </w:rPr>
              <w:t>9.8</w:t>
            </w:r>
          </w:p>
        </w:tc>
        <w:tc>
          <w:tcPr>
            <w:tcW w:w="0" w:type="dxa"/>
            <w:vAlign w:val="bottom"/>
          </w:tcPr>
          <w:p>
            <w:pPr>
              <w:spacing w:after="0"/>
              <w:rPr>
                <w:sz w:val="1"/>
                <w:szCs w:val="1"/>
                <w:color w:val="auto"/>
              </w:rPr>
            </w:pPr>
          </w:p>
        </w:tc>
      </w:tr>
      <w:tr>
        <w:trPr>
          <w:trHeight w:val="245"/>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84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7"/>
              </w:rPr>
              <w:t>8.9</w:t>
            </w:r>
          </w:p>
        </w:tc>
        <w:tc>
          <w:tcPr>
            <w:tcW w:w="0" w:type="dxa"/>
            <w:vAlign w:val="bottom"/>
          </w:tcPr>
          <w:p>
            <w:pPr>
              <w:spacing w:after="0"/>
              <w:rPr>
                <w:sz w:val="1"/>
                <w:szCs w:val="1"/>
                <w:color w:val="auto"/>
              </w:rPr>
            </w:pPr>
          </w:p>
        </w:tc>
      </w:tr>
      <w:tr>
        <w:trPr>
          <w:trHeight w:val="25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from leasing operations</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8"/>
              </w:rPr>
              <w:t>(3.3)</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140" w:firstLine="4"/>
        <w:spacing w:after="0" w:line="290" w:lineRule="auto"/>
        <w:tabs>
          <w:tab w:leader="none" w:pos="15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$0.9 million and $3.0 million of amortization expense of above-market leases for the three months ended June 30, 2025 and 2024, respectively, and $2.0 million and $4.9 million for the six months ended June 30, 2025 and 2024, respectively.</w:t>
      </w:r>
    </w:p>
    <w:p>
      <w:pPr>
        <w:spacing w:after="0" w:line="2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Building depreciation and operating expenses for space occupied by the Company are allocated between cost of revenues, selling and marketing (excluding customer base amortization), software development, and general and administrative expenses on the condensed consolidated statement of operations based on the headcount of the respective departments occupying the building. As of June 30, 2025, the Company occupied approximately 50% of the property with the remainder leased or available to be leased to third parties.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condensed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10 for further discussion of the Company's accounting for its outstanding debt, revolving credit facility, and related issuance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over the fair values of these identifiable assets and liabilities is recorded as goodwill.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spacing w:after="0" w:line="15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elected the practical expedient provided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allows for contract assets and liabilities acquired or assumed in an acquisition to be measured in accordance with the accounting framework for revenue from contracts with customers as if the Company had originated the acquired contract. This is an exception to the general requirement to measure assets acquired and liabilities assumed at their fair value on the acquisition date.</w:t>
      </w:r>
    </w:p>
    <w:p>
      <w:pPr>
        <w:spacing w:after="0" w:line="1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given acquisition, the Company may identify certain pre-acquisition contingencies as of the acquisition date and may extend its review and evaluation of these pre-acquisition contingencies throughout the measurement period in order to obtain</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sufficient information to assess whether the Company includes these contingencies as part of the fair value estimates of assets acquired and liabilities assumed and, if so, to determine their estimated amounts.</w:t>
      </w:r>
    </w:p>
    <w:p>
      <w:pPr>
        <w:spacing w:after="0" w:line="124"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If the Company cannot reasonably determine the fair value of a pre-acquisition contingency (non-income tax-related) by the end of the measurement period, which is generally the case given the nature of such matters, the Company will recognize an asset or a liability for such pre-acquisition contingency if:</w:t>
      </w:r>
    </w:p>
    <w:p>
      <w:pPr>
        <w:jc w:val="both"/>
        <w:ind w:firstLine="6"/>
        <w:spacing w:after="0" w:line="248"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16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condensed consolidated statements of operations and comprehensive income and could have a material impact on its results of operations and financial position.</w:t>
      </w:r>
    </w:p>
    <w:p>
      <w:pPr>
        <w:spacing w:after="0" w:line="1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Transaction costs associated with business combinations are expensed as incurred and are included in general and administrative expenses in the condensed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(Topic 740).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3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spacing w:after="0" w:line="155" w:lineRule="exact"/>
        <w:rPr>
          <w:sz w:val="20"/>
          <w:szCs w:val="20"/>
          <w:color w:val="auto"/>
        </w:rPr>
      </w:pPr>
    </w:p>
    <w:p>
      <w:pPr>
        <w:ind w:left="320" w:right="6620" w:hanging="314"/>
        <w:spacing w:after="0" w:line="446" w:lineRule="auto"/>
        <w:tabs>
          <w:tab w:leader="none" w:pos="31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Disaggregated Revenue</w:t>
      </w:r>
    </w:p>
    <w:p>
      <w:pPr>
        <w:spacing w:after="0" w:line="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by operating segment and type of service consist of the following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2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CoStar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Services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5"/>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LoopNet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5"/>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5"/>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76"/>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4"/>
        </w:trPr>
        <w:tc>
          <w:tcPr>
            <w:tcW w:w="2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8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2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CoStar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Services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5"/>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LoopNet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5"/>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5"/>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52525"/>
        </w:rPr>
        <w:t>Deferred revenue as of June 30, 2025 and December 31, 2024 was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28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49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4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49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Changes in deferred revenue for the period were as follows (in millions):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4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recognized in the current period from the amounts in the beginning balance</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5"/>
        </w:trPr>
        <w:tc>
          <w:tcPr>
            <w:tcW w:w="8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New deferrals, net of amounts recognized in the current period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4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foreign currency</w:t>
            </w:r>
          </w:p>
        </w:tc>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60" w:type="dxa"/>
            <w:vAlign w:val="bottom"/>
            <w:vMerge w:val="continue"/>
          </w:tcPr>
          <w:p>
            <w:pPr>
              <w:spacing w:after="0"/>
              <w:rPr>
                <w:sz w:val="16"/>
                <w:szCs w:val="16"/>
                <w:color w:val="auto"/>
              </w:rPr>
            </w:pPr>
          </w:p>
        </w:tc>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40" w:hanging="134"/>
        <w:spacing w:after="0"/>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balance includes $32.1 million of new deferrals from an acquisition completed in 2025. See Note 5 for further discussion of acquisitions.</w:t>
      </w: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June 30, 2025 and December 31, 2024 were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3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2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536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53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
        </w:trPr>
        <w:tc>
          <w:tcPr>
            <w:tcW w:w="2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assets</w:t>
            </w:r>
          </w:p>
        </w:tc>
        <w:tc>
          <w:tcPr>
            <w:tcW w:w="5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were reduced by $0.2 million and $0.6 million from contract assets for the three and six months ended June 30, 2025, respectively. Revenues were reduced by $0.4 million and $0.5 million from contract assets for the three and six months ended June 30, 2024, respectively.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Unsatisfied Performance Obligations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Remaining contract consideration for which revenue has not been recognized due to unsatisfied performance obligations was approximately $476.4 million at June 30, 2025, which the Company expects to recognize over the next eight years. This amount does not include contract consideration for contracts with a duration of one year or less.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Commissions</w:t>
      </w:r>
    </w:p>
    <w:p>
      <w:pPr>
        <w:spacing w:after="0" w:line="17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Commissions expense is included in selling and marketing expense (excluding customer base amortization) in the Company's condensed consolidated statements of operations. Commissions expense activity for the three and six months ended June 30, 2025 and 2024 was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8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r>
      <w:tr>
        <w:trPr>
          <w:trHeight w:val="25"/>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incurred</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5"/>
              </w:rPr>
              <w:t>44.7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96.5</w:t>
            </w: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capitalized in the current period</w:t>
            </w:r>
          </w:p>
        </w:tc>
        <w:tc>
          <w:tcPr>
            <w:tcW w:w="260" w:type="dxa"/>
            <w:vAlign w:val="bottom"/>
          </w:tcPr>
          <w:p>
            <w:pPr>
              <w:spacing w:after="0"/>
              <w:rPr>
                <w:sz w:val="20"/>
                <w:szCs w:val="20"/>
                <w:color w:val="auto"/>
              </w:rPr>
            </w:pPr>
          </w:p>
        </w:tc>
        <w:tc>
          <w:tcPr>
            <w:tcW w:w="96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6"/>
              </w:rPr>
              <w:t>(45.6)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6"/>
              </w:rPr>
              <w:t>(28.9)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rPr>
              <w:t>(67.6)</w:t>
            </w:r>
          </w:p>
        </w:tc>
      </w:tr>
      <w:tr>
        <w:trPr>
          <w:trHeight w:val="25"/>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5"/>
              </w:rPr>
              <w:t>29.1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56.3</w:t>
            </w:r>
          </w:p>
        </w:tc>
      </w:tr>
      <w:tr>
        <w:trPr>
          <w:trHeight w:val="25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commissions expense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5"/>
              </w:rPr>
              <w:t>44.9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recognize any impairment losses on commissions during the six months ended June 30, 2025 and 2024.</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300" w:hanging="294"/>
        <w:spacing w:after="0"/>
        <w:tabs>
          <w:tab w:leader="none" w:pos="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CREDIT LOSSES</w:t>
      </w:r>
    </w:p>
    <w:p>
      <w:pPr>
        <w:spacing w:after="0" w:line="192"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52525"/>
        </w:rPr>
        <w:t>The following tables detail the activity related to the allowance for credit losses for trade receivables by portfolio segment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Information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CoStar</w:t>
            </w: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LoopNet</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Revenues</w:t>
            </w:r>
          </w:p>
        </w:tc>
        <w:tc>
          <w:tcPr>
            <w:tcW w:w="26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6.1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provision for expected</w:t>
            </w:r>
          </w:p>
        </w:tc>
        <w:tc>
          <w:tcPr>
            <w:tcW w:w="240" w:type="dxa"/>
            <w:vAlign w:val="bottom"/>
          </w:tcPr>
          <w:p>
            <w:pPr>
              <w:spacing w:after="0"/>
              <w:rPr>
                <w:sz w:val="19"/>
                <w:szCs w:val="19"/>
                <w:color w:val="auto"/>
              </w:rPr>
            </w:pPr>
          </w:p>
        </w:tc>
        <w:tc>
          <w:tcPr>
            <w:tcW w:w="1000" w:type="dxa"/>
            <w:vAlign w:val="bottom"/>
            <w:vMerge w:val="restart"/>
          </w:tcPr>
          <w:p>
            <w:pPr>
              <w:jc w:val="center"/>
              <w:ind w:left="532"/>
              <w:spacing w:after="0"/>
              <w:rPr>
                <w:sz w:val="20"/>
                <w:szCs w:val="20"/>
                <w:color w:val="auto"/>
              </w:rPr>
            </w:pPr>
            <w:r>
              <w:rPr>
                <w:rFonts w:ascii="Times New Roman" w:cs="Times New Roman" w:eastAsia="Times New Roman" w:hAnsi="Times New Roman"/>
                <w:sz w:val="18"/>
                <w:szCs w:val="18"/>
                <w:color w:val="auto"/>
                <w:w w:val="97"/>
              </w:rPr>
              <w:t>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center"/>
              <w:ind w:left="652"/>
              <w:spacing w:after="0"/>
              <w:rPr>
                <w:sz w:val="20"/>
                <w:szCs w:val="20"/>
                <w:color w:val="auto"/>
              </w:rPr>
            </w:pPr>
            <w:r>
              <w:rPr>
                <w:rFonts w:ascii="Times New Roman" w:cs="Times New Roman" w:eastAsia="Times New Roman" w:hAnsi="Times New Roman"/>
                <w:sz w:val="18"/>
                <w:szCs w:val="18"/>
                <w:color w:val="auto"/>
                <w:w w:val="97"/>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center"/>
              <w:ind w:left="592"/>
              <w:spacing w:after="0"/>
              <w:rPr>
                <w:sz w:val="20"/>
                <w:szCs w:val="20"/>
                <w:color w:val="auto"/>
              </w:rPr>
            </w:pPr>
            <w:r>
              <w:rPr>
                <w:rFonts w:ascii="Times New Roman" w:cs="Times New Roman" w:eastAsia="Times New Roman" w:hAnsi="Times New Roman"/>
                <w:sz w:val="18"/>
                <w:szCs w:val="18"/>
                <w:color w:val="auto"/>
                <w:w w:val="97"/>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center"/>
              <w:ind w:left="432"/>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2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(5.2)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8"/>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8"/>
              </w:rPr>
              <w:t>(1.6)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25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June 30, 2025</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7"/>
              </w:rPr>
              <w:t>7.7</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Information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CoStar</w:t>
            </w:r>
          </w:p>
        </w:tc>
        <w:tc>
          <w:tcPr>
            <w:tcW w:w="1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Services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LoopNet</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6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2023</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7"/>
              </w:rPr>
              <w:t>9.7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7"/>
              </w:rPr>
              <w:t>2.5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7"/>
              </w:rPr>
              <w:t>7.3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provision for expected</w:t>
            </w:r>
          </w:p>
        </w:tc>
        <w:tc>
          <w:tcPr>
            <w:tcW w:w="220" w:type="dxa"/>
            <w:vAlign w:val="bottom"/>
          </w:tcPr>
          <w:p>
            <w:pPr>
              <w:spacing w:after="0"/>
              <w:rPr>
                <w:sz w:val="19"/>
                <w:szCs w:val="19"/>
                <w:color w:val="auto"/>
              </w:rPr>
            </w:pPr>
          </w:p>
        </w:tc>
        <w:tc>
          <w:tcPr>
            <w:tcW w:w="1000" w:type="dxa"/>
            <w:vAlign w:val="bottom"/>
            <w:vMerge w:val="restart"/>
          </w:tcPr>
          <w:p>
            <w:pPr>
              <w:jc w:val="center"/>
              <w:ind w:left="572"/>
              <w:spacing w:after="0"/>
              <w:rPr>
                <w:sz w:val="20"/>
                <w:szCs w:val="20"/>
                <w:color w:val="auto"/>
              </w:rPr>
            </w:pPr>
            <w:r>
              <w:rPr>
                <w:rFonts w:ascii="Times New Roman" w:cs="Times New Roman" w:eastAsia="Times New Roman" w:hAnsi="Times New Roman"/>
                <w:sz w:val="18"/>
                <w:szCs w:val="18"/>
                <w:color w:val="auto"/>
                <w:w w:val="97"/>
              </w:rPr>
              <w:t>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6.5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restart"/>
          </w:tcPr>
          <w:p>
            <w:pPr>
              <w:jc w:val="center"/>
              <w:ind w:left="592"/>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center"/>
              <w:ind w:left="43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(9.5)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(0.7)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(4.8)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8"/>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June 30, 2024</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572"/>
              <w:spacing w:after="0"/>
              <w:rPr>
                <w:sz w:val="20"/>
                <w:szCs w:val="20"/>
                <w:color w:val="auto"/>
              </w:rPr>
            </w:pPr>
            <w:r>
              <w:rPr>
                <w:rFonts w:ascii="Times New Roman" w:cs="Times New Roman" w:eastAsia="Times New Roman" w:hAnsi="Times New Roman"/>
                <w:sz w:val="18"/>
                <w:szCs w:val="18"/>
                <w:color w:val="auto"/>
                <w:w w:val="97"/>
              </w:rPr>
              <w:t>7.3</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7"/>
              </w:rPr>
              <w:t>2.5</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7"/>
              </w:rPr>
              <w:t>9.0</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Credit loss expense is included in general and administrative expenses on the condensed consolidated statements of operations. Credit loss expense related to contract assets was not material for the three and six months ended June 30, 2025 and 2024. Residential accounts receivable and the related allowance for credit losses were not material for the three and six months ended June 30, 2025 and 2024.</w:t>
      </w:r>
    </w:p>
    <w:p>
      <w:pPr>
        <w:spacing w:after="0" w:line="136" w:lineRule="exact"/>
        <w:rPr>
          <w:sz w:val="20"/>
          <w:szCs w:val="20"/>
          <w:color w:val="auto"/>
        </w:rPr>
      </w:pPr>
    </w:p>
    <w:p>
      <w:pPr>
        <w:ind w:left="320" w:right="9620" w:hanging="314"/>
        <w:spacing w:after="0" w:line="481" w:lineRule="auto"/>
        <w:tabs>
          <w:tab w:leader="none" w:pos="301"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Domain</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May 9, 2025, the Company entered into the Domain SID to acquire 100% of the issued capital of Domain not previously acquired by the Company by way of Scheme of Arrangement. Pursuant to the Domain SID, Domain shareholders will be entitled to receive total cash consideration of A$4.43 per Domain ordinary share, less any special dividend declared and paid by Domain after May 9, 2025, subject to all applicable conditions being satisfied (or waived) and the scheme being implemented. The Company expects to spend approximately A$2.4 billion ($1.5 billion) to acquire the remaining approximately 83% of Domain’s ordinary shares upon consummation of the Domain Transaction. The Domain Transaction remains subject to a number of conditions, including Domain shareholder approval, Australian Foreign Investment Review Board approval, as well as other customary conditions. Accordingly, there is no guarantee that the Domain Transaction will be completed.</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Matterport</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28, 2025, the Company completed the Matterport Acquisition. Matterport is a leader in the digitization and datafication of the built world. Matterport’s pioneering technology has set the standard for digitizing, accessing and managing buildings, spaces, and places online. Matterport’s platform, comprised of innovative software, spatial data-driven data science, and 3D capture technology, has broken down the barriers that have kept the largest asset class in the world, buildings and physical spaces, offline and underutilized for so long. The Company intends to integrate Matterport's 3D digital twin</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technology with its information service products and online marketplaces to allow buyers, sellers, and renters to explore properties with greater depth and insight.</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terms and conditions of the Matterport Merger Agreement, the Company acquired Matterport, with each share of Matterport Common Stock outstanding immediately prior to the closing of the Matterport Acquisition exchanged for (i) 0.03552 of a CoStar Group Share, the Matterport Merger Exchange Ratio, and (ii) $2.75 in cash (the "Matterport Acquisition Consideration"), with fractional shares of CoStar Group Shares paid in cash.</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part of the Matterport Acquisition, the Company issued certain rollover equity awards to the employees of Matterport, which included approximately 2.3 million shares of restricted stock units and approximately 1.8 million stock option awards. The total fair value of the rollover equity awards was $272.6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total purchase consideration for the Matterport Acquisition was $1.9 billion, which consisted of the following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6"/>
        </w:trPr>
        <w:tc>
          <w:tcPr>
            <w:tcW w:w="9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r>
      <w:tr>
        <w:trPr>
          <w:trHeight w:val="23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Group Shares (11.7 million shares)</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r>
      <w:tr>
        <w:trPr>
          <w:trHeight w:val="26"/>
        </w:trPr>
        <w:tc>
          <w:tcPr>
            <w:tcW w:w="9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5"/>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rollover awards</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58"/>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r>
      <w:tr>
        <w:trPr>
          <w:trHeight w:val="20"/>
        </w:trPr>
        <w:tc>
          <w:tcPr>
            <w:tcW w:w="9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amounts recorded for acquired assets and assumed liabilities recorded at their fair value as of the closing date of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Matterport Acquisition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Measurement</w:t>
            </w:r>
          </w:p>
        </w:tc>
        <w:tc>
          <w:tcPr>
            <w:tcW w:w="200" w:type="dxa"/>
            <w:vAlign w:val="bottom"/>
          </w:tcPr>
          <w:p>
            <w:pPr>
              <w:spacing w:after="0"/>
              <w:rPr>
                <w:sz w:val="18"/>
                <w:szCs w:val="18"/>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Updated</w:t>
            </w:r>
          </w:p>
        </w:tc>
      </w:tr>
      <w:tr>
        <w:trPr>
          <w:trHeight w:val="212"/>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Preliminary:</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00" w:type="dxa"/>
            <w:vAlign w:val="bottom"/>
          </w:tcPr>
          <w:p>
            <w:pPr>
              <w:spacing w:after="0"/>
              <w:rPr>
                <w:sz w:val="18"/>
                <w:szCs w:val="18"/>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r>
      <w:tr>
        <w:trPr>
          <w:trHeight w:val="233"/>
        </w:trPr>
        <w:tc>
          <w:tcPr>
            <w:tcW w:w="6480" w:type="dxa"/>
            <w:vAlign w:val="bottom"/>
          </w:tcPr>
          <w:p>
            <w:pPr>
              <w:spacing w:after="0"/>
              <w:rPr>
                <w:sz w:val="20"/>
                <w:szCs w:val="20"/>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February 28, 2025</w:t>
            </w: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February 28, 2025</w:t>
            </w:r>
          </w:p>
        </w:tc>
      </w:tr>
      <w:tr>
        <w:trPr>
          <w:trHeight w:val="25"/>
        </w:trPr>
        <w:tc>
          <w:tcPr>
            <w:tcW w:w="6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5"/>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5"/>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5"/>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5"/>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accrual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
        </w:trPr>
        <w:tc>
          <w:tcPr>
            <w:tcW w:w="6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Generally, the net assets of Matterport were recorded at their estimated fair values. In valuing the acquired assets and assumed liabilities,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purchase price allocation is preliminary and subject to change during the measurement period as additional information is obtained about the facts and circumstances that existed at closing. Any material adjustments to provisional amounts identified during the measurement period will be recognized and disclosed in the reporting period in which the adjustment amounts are determined. The primary areas that remain subject to additional information is the Company's assessment of certain tax matters;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contingencies, including those discussed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fair value assessment of certain acquired intangibles.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values (in millions) of the identifiable intangible assets acquired in the Matterport Acquisition included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North America operating segment, their related estimated useful lives (in years), and their respective amortization methods: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Amortization Method</w:t>
            </w:r>
          </w:p>
        </w:tc>
      </w:tr>
      <w:tr>
        <w:trPr>
          <w:trHeight w:val="25"/>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70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8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Straight-line</w:t>
            </w: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Accelerated</w:t>
            </w:r>
          </w:p>
        </w:tc>
      </w:tr>
      <w:tr>
        <w:trPr>
          <w:trHeight w:val="25"/>
        </w:trPr>
        <w:tc>
          <w:tcPr>
            <w:tcW w:w="5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6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7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8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Straight-line</w:t>
            </w:r>
          </w:p>
        </w:tc>
      </w:tr>
      <w:tr>
        <w:trPr>
          <w:trHeight w:val="25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7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0"/>
        </w:trPr>
        <w:tc>
          <w:tcPr>
            <w:tcW w:w="5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Matterport Acquisition includes but is not limited to: (i) the expected synergies and other benefits that the Company believes will result from combining Matterport's operations with the Company's operations and (ii) any intangible assets that do not qualify for separate recognition, such as the assembled workforce. The $1.1 billion of goodwill recorded as part of the Matterport Acquisition is associated with the Company's North America operating segment, of which none is expected to be deductible for income tax purposes. Transaction costs associated with the Matterport Acquisition were $17.6 million during the six months ended June 30, 2025, and consist primarily of legal, accounting, and other professional service costs. These costs are included within general and administrative expenses on the condensed consolidated statements of operations.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Visual Lease</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November 2024, CoStar acquired Visual Lease for total consideration of $276.0 million, in accordance with the terms under the Visual Lease Merger Agreement. Visual Lease is the operator of a SaaS platform for integrated lease management and lease accounting.</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amounts recorded for acquired assets and assumed liabilities recorded at their fair value as of the closing date of the acquisition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Measurement</w:t>
            </w:r>
          </w:p>
        </w:tc>
        <w:tc>
          <w:tcPr>
            <w:tcW w:w="200" w:type="dxa"/>
            <w:vAlign w:val="bottom"/>
          </w:tcPr>
          <w:p>
            <w:pPr>
              <w:spacing w:after="0"/>
              <w:rPr>
                <w:sz w:val="18"/>
                <w:szCs w:val="18"/>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Updated</w:t>
            </w:r>
          </w:p>
        </w:tc>
      </w:tr>
      <w:tr>
        <w:trPr>
          <w:trHeight w:val="212"/>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Preliminary:</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00" w:type="dxa"/>
            <w:vAlign w:val="bottom"/>
          </w:tcPr>
          <w:p>
            <w:pPr>
              <w:spacing w:after="0"/>
              <w:rPr>
                <w:sz w:val="18"/>
                <w:szCs w:val="18"/>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r>
      <w:tr>
        <w:trPr>
          <w:trHeight w:val="233"/>
        </w:trPr>
        <w:tc>
          <w:tcPr>
            <w:tcW w:w="6480" w:type="dxa"/>
            <w:vAlign w:val="bottom"/>
          </w:tcPr>
          <w:p>
            <w:pPr>
              <w:spacing w:after="0"/>
              <w:rPr>
                <w:sz w:val="20"/>
                <w:szCs w:val="20"/>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November 1, 2024</w:t>
            </w: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November 1, 2024</w:t>
            </w:r>
          </w:p>
        </w:tc>
      </w:tr>
      <w:tr>
        <w:trPr>
          <w:trHeight w:val="25"/>
        </w:trPr>
        <w:tc>
          <w:tcPr>
            <w:tcW w:w="6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5"/>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
        </w:trPr>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0"/>
        </w:trPr>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net assets of Visual Lease were recorded at their estimated fair values. In valuing the acquired assets and assumed liabilities, fair value estimates were based primarily on future expected cash flows, market rate assumptions for contractual obligations, and appropriate discount rates. The purchase price allocation is preliminary, subject primarily to the Company's assessment of certain tax matters and contingencies. The key assumptions used in the valuation include discount rates, projected revenue growth rates, customer attrition rates, and profit margins.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fair values (in millions) of the identifiable intangible assets acquired in the Visual Lease Acquisition included in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North America operating segment, their related estimated useful lives (in years), and their respective amortization methods: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 Method</w:t>
            </w:r>
          </w:p>
        </w:tc>
      </w:tr>
      <w:tr>
        <w:trPr>
          <w:trHeight w:val="25"/>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base</w:t>
            </w:r>
          </w:p>
        </w:tc>
        <w:tc>
          <w:tcPr>
            <w:tcW w:w="70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Accelerated</w:t>
            </w: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Straight-line</w:t>
            </w:r>
          </w:p>
        </w:tc>
      </w:tr>
      <w:tr>
        <w:trPr>
          <w:trHeight w:val="26"/>
        </w:trPr>
        <w:tc>
          <w:tcPr>
            <w:tcW w:w="5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Database technology</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6"/>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8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Visual Lease Acquisition includes, but is not limited to: (i) the expected synergies and other benefits that the Company believes will result from (i) increasing anonymized leasing data in CoStar, (ii) combining its operations with CoStar Real Estate Manager's operations, and (iii) any intangible assets that do not qualify for separate recognition, such as the assembled workforce. The $149.5 million of goodwill recorded as part of the acquisition is associated with the Company's North America operating segment, of which $132.7 million is expected to be deductible for income tax purposes. Transaction costs associated with the Visual Lease Acquisition were $6.8 million.</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unaudited pro forma financial information presented below reflects the condensed consolidated results of operations of the Company assuming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Matterport Acquisition had taken place on January 1, 2024 and was as follows (in millions,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278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420" w:type="dxa"/>
            <w:vAlign w:val="bottom"/>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5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r>
      <w:tr>
        <w:trPr>
          <w:trHeight w:val="25"/>
        </w:trPr>
        <w:tc>
          <w:tcPr>
            <w:tcW w:w="5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5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5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781.3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r>
      <w:tr>
        <w:trPr>
          <w:trHeight w:val="24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5"/>
        </w:trPr>
        <w:tc>
          <w:tcPr>
            <w:tcW w:w="5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4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bl>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material pro forma adjustments primarily consist of incremental amortization expense based on the preliminary fair value of the intangible assets acquired, increased compensation expense relating to the issuance of certain equity plans in connection with the Matterport Acquisition, accounting policy alignment adjustments, and the income tax impact of the aforementioned pro forma adjustments. The unaudited pro forma financial information has also been adjusted to reflect $17.6 million of acquisition-related costs incurred during the six months ended June 30, 2025 as having occurred on January 1, 2024.</w:t>
      </w:r>
    </w:p>
    <w:p>
      <w:pPr>
        <w:spacing w:after="0" w:line="12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impact of the Matterport Acquisition on the Company's revenue was $44.0 million and $59.9 million for the three and six months ended June 30, 2025, respectively. The impact of the Matterport Acquisition on the Company's net income (loss) in the condensed consolidated statements of operations was a loss of $37.6 million and $50.8 million for the three and six months ended June 30, 2025, respectively.</w:t>
      </w:r>
    </w:p>
    <w:p>
      <w:pPr>
        <w:spacing w:after="0" w:line="1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INVESTMENTS AND FAIR VALUE MEASUREMENTS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categorize assets and liabilities recorded or disclosed at fair value on the condensed consolidated balance sheets based upon the level of judgment associated with inputs used to measure their fair value. The categories are as follows: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Observable inputs such as quoted prices in active markets for identical assets or liabilities.</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 active markets that are either directly or indirectly observable.</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for which little or no market data exists, therefore requiring an entity to develop its own assumptions.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financial assets that were measured at fair value on a recurring basis were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
        </w:trPr>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w:t>
            </w:r>
          </w:p>
        </w:tc>
      </w:tr>
      <w:tr>
        <w:trPr>
          <w:trHeight w:val="23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investment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4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0"/>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13.1</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5"/>
        </w:trPr>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8"/>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
        </w:trPr>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4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w:t>
            </w:r>
          </w:p>
        </w:tc>
      </w:tr>
      <w:tr>
        <w:trPr>
          <w:trHeight w:val="25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May 2025, the Company entered into deal-contingent foreign currency forward contracts to manage the risk of appreciation of the Australian dollar-denominated purchase price related to the Domain Transaction. The fair value of the deal-contingent forward was determined by comparing the contractual foreign exchange rates to forward market rates for various future dates, probability weighted for when the acquisition is anticipated to close, and discounted to the valuation date. The probability weighting of when, and whether, the acquisition will close during the term of the deal-contingent foreign currency forward contracts was significant in determining the fair value and was considered a Level 3 input. The Company expects the deal to close in the third quarter of 2025 and the majority of the weighting was estimated in the third quarter of 2025. As of June 30, 2025, generally, the fair value of the contracts would increase if the transaction were to close later in the term of the contracts. The change in fair value of the deal-contingent forward contracts was $13.1 million for the three and six months ended June 30, 2025 and was recognized in other income (expense), net, in the condensed consolidated statements of operations.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realized and unrealized gains and losses associated with equity investments were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3"/>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160" w:type="dxa"/>
            <w:vAlign w:val="bottom"/>
          </w:tcPr>
          <w:p>
            <w:pPr>
              <w:spacing w:after="0"/>
              <w:rPr>
                <w:sz w:val="20"/>
                <w:szCs w:val="20"/>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5"/>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recognized on equity investments held as of the end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gains recognized in other income (expense),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right"/>
              <w:ind w:right="2152"/>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8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Matterport Acquisition, the Company acquired $203.7 million of available-for-sale debt securities, inclusive of $2.0 million of accrued interest. These securities were sold for net proceeds of $203.4 million resulting in a negligible realized loss in the first quarter of 2025.</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holds other financial instruments, including cash deposits, accounts receivable, accounts payable, accrued expenses, and Senior Notes. The carrying value for such financial instruments, other than the Senior Notes, each approximated their fair values as of both June 30, 2025 and December 31, 2024. The estimated fair value of the Company's outstanding Senior Notes using quoted prices from the over-the-counter markets, considered Level 2 inputs, was $0.9 billion as of both June 30, 2025 and December 31, 2024.</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operating and finance leases for its office facilities, data centers, and certain vehicles, as well as finance leases for office equipment. The Company's leases have remaining terms up to nine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Lease costs related to the Company's operating and finance leases included in the condensed consolidated statements of operations were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6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0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0"/>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0"/>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
        </w:trPr>
        <w:tc>
          <w:tcPr>
            <w:tcW w:w="6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86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0"/>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
        </w:trPr>
        <w:tc>
          <w:tcPr>
            <w:tcW w:w="6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costs</w:t>
            </w:r>
          </w:p>
        </w:tc>
        <w:tc>
          <w:tcPr>
            <w:tcW w:w="86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Finance lease costs primarily relate to vehicles used by the Company's research teams and the amortization of the ROU assets are recorded to cost of revenues in the condensed consolidated statements of operations. The impact of lease costs related to short-term leases was not material for the three and six months ended June 30, 2025 and 2024.</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2024</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39"/>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right-of-use assets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9"/>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478"/>
        </w:trPr>
        <w:tc>
          <w:tcPr>
            <w:tcW w:w="7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millions):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7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7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889"/>
        </w:trPr>
        <w:tc>
          <w:tcPr>
            <w:tcW w:w="4120" w:type="dxa"/>
            <w:vAlign w:val="bottom"/>
          </w:tcPr>
          <w:p>
            <w:pPr>
              <w:spacing w:after="0"/>
              <w:rPr>
                <w:sz w:val="24"/>
                <w:szCs w:val="24"/>
                <w:color w:val="auto"/>
              </w:rPr>
            </w:pPr>
          </w:p>
        </w:tc>
        <w:tc>
          <w:tcPr>
            <w:tcW w:w="37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1" w:name="page32"/>
    <w:bookmarkEnd w:id="3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92"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by operating segment consist of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60" w:type="dxa"/>
            <w:vAlign w:val="bottom"/>
          </w:tcPr>
          <w:p>
            <w:pPr>
              <w:spacing w:after="0"/>
              <w:rPr>
                <w:sz w:val="20"/>
                <w:szCs w:val="20"/>
                <w:color w:val="auto"/>
              </w:rPr>
            </w:pP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December 31,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65"/>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including measurement period adjustments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65"/>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December 31, 2024</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including measurement period adjustments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0" w:type="dxa"/>
            <w:vAlign w:val="bottom"/>
          </w:tcPr>
          <w:p>
            <w:pPr>
              <w:spacing w:after="0"/>
              <w:rPr>
                <w:sz w:val="1"/>
                <w:szCs w:val="1"/>
                <w:color w:val="auto"/>
              </w:rPr>
            </w:pPr>
          </w:p>
        </w:tc>
      </w:tr>
      <w:tr>
        <w:trPr>
          <w:trHeight w:val="240"/>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5"/>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June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4"/>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North America goodwill generated during the year ended December 31, 2024 from the Visual Lease Acquisition was $148.0 million.</w:t>
      </w:r>
    </w:p>
    <w:p>
      <w:pPr>
        <w:ind w:left="140" w:hanging="134"/>
        <w:spacing w:after="0"/>
        <w:tabs>
          <w:tab w:leader="none" w:pos="14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North America goodwill generated during the six months ended June 30, 2025 from the Matterport Acquisition was $1,137.4 million.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recognize any impairment losses on goodwill during the six months ended June 30, 2025 or 2024.</w:t>
      </w:r>
    </w:p>
    <w:p>
      <w:pPr>
        <w:spacing w:after="0" w:line="175"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7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(in millions, except amortization period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2"/>
        </w:trPr>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2"/>
        </w:trPr>
        <w:tc>
          <w:tcPr>
            <w:tcW w:w="6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3"/>
        </w:trPr>
        <w:tc>
          <w:tcPr>
            <w:tcW w:w="6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Period (in years)</w:t>
            </w:r>
          </w:p>
        </w:tc>
      </w:tr>
      <w:tr>
        <w:trPr>
          <w:trHeight w:val="25"/>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 and data</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 and data, net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base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base, net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trade names and other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trade names and other intangible assets, net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above-market leases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above-market leases, net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in-place leases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in-place leases, net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r>
      <w:tr>
        <w:trPr>
          <w:trHeight w:val="28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indicate that the carrying value of such assets may not be recoverable. The Company did not recognize any impairment losses on intangible assets during the six months ended June 30, 2025 or 2024. During the six months ended June 30, 2025, the Company removed $42.6 million of intangible assets that were fully amortized from the acquired intangible assets and accumulated amortization, which had no impact on the Company's financial results.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LONG-TERM DEBT</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8"/>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millions):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7"/>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2.800% Senior Notes due July 15, 2030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Credit Agreement, due May 24, 2029</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face amount of long-term debt</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unamortized discount and issuance costs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July 1, 2020, the Company issued $1.0 billion aggregate principal amount of 2.800% Senior Notes due July 15, 2030. The Senior Notes were sold to a group of financial institutions as initial purchasers who subsequently resold the Senior Notes to non-U.S. persons pursuant to Regulation S under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 owned subsidiaries, and the indenture governing the Senior Notes contains covenants, events of default, and other customary provisions with which the Company was in compliance as of June 30, 2025.</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24, 2024, the Company entered into the 2024 Credit Agreement, which provides for a $1.1 billion revolving credit facility with a term of five years (maturing May 24, 2029) and a letter of credit sublimit of $20 million from a syndicate of financial institutions and issuing banks. The 2024 Credit Agreement replaces the Company's 2020 Credit Agreement.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Borrowings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w:t>
      </w:r>
    </w:p>
    <w:p>
      <w:pPr>
        <w:spacing w:after="0" w:line="15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2024 Credit Agreement contains customary affirmative covenants for transactions of this type, including, among others, the provision of financial and other information to the administrative agent, notice to the administrative agent upon the occurrence of certain material events, preservation of existence, maintenance of properties, and compliance with laws, including environmental laws, subject to certain exceptions. The 2024 Credit Agreement contains customary negative covenants, including, among others, restrictions on the ability of the Company and its subsidiaries to merge and consolidate with other companies, restrictions on the ability of certain subsidiaries to incur indebtedness, and restrictions on the ability of the Company and certain subsidiaries to grant liens or security interests on assets, subject to certain exceptions. The 2024 Credit Agreement contains a financial maintenance covenant that requires the Company to maintain a Total Leverage Ratio (as defined in the 2024 Credit Agreement) of less than or equal to 4.50 to 1.00, tested at the end of each fiscal quarter. The 2024 Credit Agreement also provides for a number of customary events of default, including, among others: payment defaults to the Lenders, voluntary and involuntary bankruptcy proceedings, covenant defaults, material inaccuracies of representations and</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warranties, cross-acceleration to other material indebtedness, certain change of control events, material money judgments, and other customary events of default. The occurrence of an event of default could result in the acceleration of obligations and the termination of lending commitments under the 2024 Credit Agreement. The Company was in compliance with the covenants in the 2024 Credit Agreement as of June 30, 2025. As of June 30, 2025, the Company had no amounts drawn under this facility.</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had $3.3 million and $3.8 million of deferred debt issuance costs related to the revolving credit facility as of June 30, 2025 and December 31, 2024, respectively. These amounts are included in deposits and other assets on the Company's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 recognized interest expense as follows (in millions):</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3"/>
        </w:trPr>
        <w:tc>
          <w:tcPr>
            <w:tcW w:w="604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r>
      <w:tr>
        <w:trPr>
          <w:trHeight w:val="26"/>
        </w:trPr>
        <w:tc>
          <w:tcPr>
            <w:tcW w:w="6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6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6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outstanding borrowings</w:t>
            </w: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Senior Notes discount and issuance costs</w:t>
            </w:r>
          </w:p>
        </w:tc>
        <w:tc>
          <w:tcPr>
            <w:tcW w:w="82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
        </w:trPr>
        <w:tc>
          <w:tcPr>
            <w:tcW w:w="6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capitalized for construction in process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 and other</w:t>
            </w:r>
          </w:p>
        </w:tc>
        <w:tc>
          <w:tcPr>
            <w:tcW w:w="82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
        </w:trPr>
        <w:tc>
          <w:tcPr>
            <w:tcW w:w="6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income tax provision reflects an effective tax rate of approximately 71% and 47% for the three months ended June 30, 2025 and 2024, respectively, and 158% and 45% for the six months ended June 30, 2025, respectively. The increase in the effective tax rate for the three and six months ended June 30, 2025 was primarily due to U.K. losses with no tax benefit continuing while US book income decreased, resulting in lower overall net income for the three and six months ended June 30, 2025.</w:t>
      </w:r>
    </w:p>
    <w:p>
      <w:pPr>
        <w:spacing w:after="0" w:line="1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summarizes the Company's significant contractual obligations, including related payments due by period, as of June 30, 2025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Operating lease</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Finance lease</w:t>
            </w: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8"/>
              </w:rPr>
              <w:t>Long-term debt</w:t>
            </w:r>
          </w:p>
        </w:tc>
      </w:tr>
      <w:tr>
        <w:trPr>
          <w:trHeight w:val="23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obligations</w:t>
            </w:r>
          </w:p>
        </w:tc>
        <w:tc>
          <w:tcPr>
            <w:tcW w:w="1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payments</w:t>
            </w:r>
          </w:p>
        </w:tc>
        <w:tc>
          <w:tcPr>
            <w:tcW w:w="15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interest payments</w:t>
            </w:r>
          </w:p>
        </w:tc>
      </w:tr>
      <w:tr>
        <w:trPr>
          <w:trHeight w:val="25"/>
        </w:trPr>
        <w:tc>
          <w:tcPr>
            <w:tcW w:w="4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
        </w:trPr>
        <w:tc>
          <w:tcPr>
            <w:tcW w:w="4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leases office facilities under various non-cancelable operating leases, as well as data centers and vehicles under finance lease arrangements.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leases contain various renewal options.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7 for further discussion of the Company's lease commitments.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Currently, and from time to time, the Company is involved in litigation incidental to the conduct of its business. The Company records a provision for a liability when it is both probable that a liability has been incurred and the amount can be reasonably estimated. While it is reasonably possible that an unfavorable outcome may occur as a result of one or more of the</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Company’s current litigation matters, at this time, management has concluded that the resolutions of these matters are not expected to have a material effect on the Company's condensed consolidated financial position, future results of operations, or liquidity. Legal defense costs are expensed as incurred, except as set forth below.</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Matterport-Related Matters</w:t>
      </w:r>
    </w:p>
    <w:p>
      <w:pPr>
        <w:spacing w:after="0" w:line="19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On July 23, 2021, plaintiff William J. Brown, a former employee and a stockholder of Matterport, sued Matterport, Gores Holdings VI, Inc. (now known as Matterport, Inc.), Maker Merger Sub Inc., Maker Merger Sub II, LLC, and Matterport directors R.J. Pittman, David Gausebeck, Matt Bell, Peter Hebert, Jason Krikorian, Carlos Kokron and Michael Gustafson (collectively, the “Brown Defendants”) in the Court of Chancery of the State of Delaware (the “Chancery Court ”). Brown claimed that the Brown Defendants imposed invalid transfer restrictions on his shares of Matterport stock in connection with the Gores Merger transactions (the "Gores Transaction" and the Agreement and the Plan of Merger thereunder, the "Gores Merger Agreement") between Matterport, Inc. and Legacy Matterport (the “Transfer Restrictions”), and that Matterport’s Board of Directors violated their fiduciary duties in connection with a purportedly misleading letter of transmittal. An expedited trial regarding the facial validity of the Transfer Restrictions took place in December 2021. On January 11, 2022, the court issued a ruling that the Transfer Restrictions did not apply to Brown. Separate proceedings regarding Brown's remaining claims, including the amount of any damages suffered by Brown were the subject of the second phase of the case. Legacy Matterport's position was that Brown did not suffer any damages as he would have sold his shares as soon as possible after the Gores Transaction closed had Legacy Matterport not prevented him from trading based on its application of the Transfer Restrictions. Trial was held in November 2023, and a post-trial hearing was held on February 22, 2024. On May 28, 2024, the court ruled that Matterport had a reasonable basis to deny the plaintiff’s November 2021 demand that the transfer restrictions be removed from his shares and that the plaintiff lacked standing as to whether the transfer restrictions complied with Delaware law. However, the court awarded Brown $79.1 million plus pre- and post-judgment interest as damages for losses caused by Matterport’s initial refusal to issue freely transferable shares (the “Brown Judgment”). On July 29, 2024, a notice of appeal to the court's ruling to the Delaware Supreme Court was filed. Brown filed a notice of cross-appeal on August 12, 2024. Oral argument on the appeal was heard on February 26, 2025. On April 22, 2025, the Delaware Supreme Court substantially affirmed the Chancery Court's $79.1 million damages award but reversed and remanded for additional proceedings on the manner in which post-judgment interest was calculated. The Chancery Court has not scheduled further proceedings on the issue of post-judgment interest.</w:t>
      </w:r>
    </w:p>
    <w:p>
      <w:pPr>
        <w:spacing w:after="0" w:line="3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has estimated a litigation accrual of $96.7 million considering the substantially-affirmed damages award and the Company's estimate of the expected interest award using the Chancery Court's previously determined interest methodology. This estimated litigation accrual is reflected in the purchase price allocation for the Matterport Acquisition and is subject to change based on the Chancery Court's revised ruling. The Company estimated additional interest of up to approximately $15 million could be awarded if the Chancery Court followed the methodology Brown previously argued, and which was rejected. The Company anticipates the revised ruling will occur in the second half of 2025. Subsequent to the Brown Judgment, on August 14, 2024, a litigation bond was posted, and Matterport transferred $95.0 million in cash as collateral into a designated insured interest-bearing account. The cash collateral of $98.4 million was classified as restricted cash on the Company’s condensed consolidated balance sheet as of June 30, 2025.</w:t>
      </w:r>
    </w:p>
    <w:p>
      <w:pPr>
        <w:spacing w:after="0" w:line="14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Since the Brown judgment in May 2024, other former Legacy Matterport stockholders have filed complaints (the “Post-Brown Complaints”) in the Chancery Court alleging that they were prevented from trading their Matterport shares through invalid transfer restrictions. These complaints were filed as follows: on July 19, 2024 by Damien Leostic and William Schmitt; on August 16, 2024 by Greg Coombe; on September 19, 2024 by Build Legacy LLC, Build the Future Trust under agreement dated November 16, 2023, Penchant Capital LLC, Penchant Trust, and iRobot Corporation. On September 16, 2024, Kimberly Burdi-Dumas, a former Matterport employee, filed a putative class action complaint on behalf of all persons or entities who were stockholders of Legacy Matterport as of July 21, 2021, and who, pursuant to the Gores Transaction, were thereafter issued and held Matterport shares that were improperly restricted from being sold until January 18, 2022. On November 26, 2024, Schmitt amended his complaint to bring a class action on behalf of former members of Matterport who did not receive their shares immediately following the closing of Gores Transaction. On December 6, 2024, the Burdi-Dumas complaint was amended to include a second plaintiff, Janet Day, and additional claims. These cases have now been consolidated and coordinated.</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monitors developments in these legal matters that could affect the estimate the Company may have previously accrued. As of June 30, 2025, there were no amounts accrued that the Company believes would be material to its financial position, except as noted above. Further, the range of reasonably possible losses in excess of accrued liabilities currently cannot be reasonably estimated, except as noted above.</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manages its business geographically in two operating segments and two reportable segments, with the primary areas of measurement and decision-making being North America, which includes the U.S. and Canada, and International, which primarily includes Europe, Asia-Pacific, and Latin America. Segment reporting is based on the management approach, whereby external segment reporting is aligned with the internal reporting used by the CODM, which is the Company’s Chief Executive Officer. The CODM relies on an internal management reporting process that provides revenue and operating segment EBITDA for making decisions and assessing performance as the source of the Company’s reportable segments. EBITDA is used by management internally to measure operating and management performance and to evaluate the performance of the business.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Summarized EBITDA information by operating segment consists of the following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6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6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2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22"/>
                <w:szCs w:val="22"/>
                <w:color w:val="auto"/>
                <w:vertAlign w:val="superscript"/>
              </w:rPr>
              <w:t>(1)</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5"/>
              </w:rPr>
              <w:t>37.3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Personnel</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5"/>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39"/>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5"/>
              </w:rPr>
              <w:t>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2"/>
                <w:szCs w:val="22"/>
                <w:color w:val="auto"/>
                <w:vertAlign w:val="superscript"/>
              </w:rPr>
              <w:t>(2)</w:t>
            </w:r>
          </w:p>
        </w:tc>
        <w:tc>
          <w:tcPr>
            <w:tcW w:w="4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5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22"/>
                <w:szCs w:val="22"/>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60" w:hanging="136"/>
        <w:spacing w:after="0"/>
        <w:tabs>
          <w:tab w:leader="none" w:pos="16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3 for details of revenue disaggregated by segment.</w:t>
      </w:r>
    </w:p>
    <w:p>
      <w:pPr>
        <w:spacing w:after="0" w:line="55" w:lineRule="exact"/>
        <w:rPr>
          <w:rFonts w:ascii="Times New Roman" w:cs="Times New Roman" w:eastAsia="Times New Roman" w:hAnsi="Times New Roman"/>
          <w:sz w:val="17"/>
          <w:szCs w:val="17"/>
          <w:color w:val="auto"/>
          <w:vertAlign w:val="superscript"/>
        </w:rPr>
      </w:pPr>
    </w:p>
    <w:p>
      <w:pPr>
        <w:ind w:left="160" w:hanging="136"/>
        <w:spacing w:after="0" w:line="208" w:lineRule="auto"/>
        <w:tabs>
          <w:tab w:leader="none" w:pos="16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personnel costs.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20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2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5"/>
              </w:rPr>
              <w:t>67.1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0" w:type="dxa"/>
            <w:vAlign w:val="bottom"/>
          </w:tcPr>
          <w:p>
            <w:pPr>
              <w:spacing w:after="0"/>
              <w:rPr>
                <w:sz w:val="1"/>
                <w:szCs w:val="1"/>
                <w:color w:val="auto"/>
              </w:rPr>
            </w:pPr>
          </w:p>
        </w:tc>
      </w:tr>
      <w:tr>
        <w:trPr>
          <w:trHeight w:val="24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Personnel</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5"/>
              </w:rPr>
              <w:t>48.1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0" w:type="dxa"/>
            <w:vAlign w:val="bottom"/>
          </w:tcPr>
          <w:p>
            <w:pPr>
              <w:spacing w:after="0"/>
              <w:rPr>
                <w:sz w:val="1"/>
                <w:szCs w:val="1"/>
                <w:color w:val="auto"/>
              </w:rPr>
            </w:pPr>
          </w:p>
        </w:tc>
      </w:tr>
      <w:tr>
        <w:trPr>
          <w:trHeight w:val="240"/>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5"/>
              </w:rPr>
              <w:t>36.4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2"/>
                <w:szCs w:val="22"/>
                <w:color w:val="auto"/>
                <w:vertAlign w:val="superscript"/>
              </w:rPr>
              <w:t>(2)</w:t>
            </w: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5"/>
              </w:rPr>
              <w:t>17.2</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58"/>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6"/>
              </w:rPr>
              <w:t>(24.6)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96"/>
              </w:rPr>
              <w:t>(34.6)</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9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60" w:hanging="136"/>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Note 3 for details of revenue disaggregated by segment.</w:t>
      </w:r>
    </w:p>
    <w:p>
      <w:pPr>
        <w:spacing w:after="0" w:line="64" w:lineRule="exact"/>
        <w:rPr>
          <w:rFonts w:ascii="Times New Roman" w:cs="Times New Roman" w:eastAsia="Times New Roman" w:hAnsi="Times New Roman"/>
          <w:sz w:val="9"/>
          <w:szCs w:val="9"/>
          <w:color w:val="auto"/>
        </w:rPr>
      </w:pPr>
    </w:p>
    <w:p>
      <w:pPr>
        <w:ind w:left="160" w:hanging="136"/>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personnel costs.</w:t>
      </w:r>
    </w:p>
    <w:p>
      <w:pPr>
        <w:spacing w:after="0" w:line="30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domiciled in the U.S. and revenues earned outside the U.S. were $60.7 million and $41.4 million for three months ended June 30, 2025 and 2024, respectively, and $108.6 million and $79.1 million for the six months ended June 30, 2025 and 2024, respectively.</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summarizes stock-based compensation, which is a significant non-cash item included in the personnel costs above, by segment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264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4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spacing w:after="0"/>
              <w:rPr>
                <w:sz w:val="20"/>
                <w:szCs w:val="20"/>
                <w:color w:val="auto"/>
              </w:rPr>
            </w:pPr>
          </w:p>
        </w:tc>
      </w:tr>
      <w:tr>
        <w:trPr>
          <w:trHeight w:val="25"/>
        </w:trPr>
        <w:tc>
          <w:tcPr>
            <w:tcW w:w="4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48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4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40" w:type="dxa"/>
            <w:vAlign w:val="bottom"/>
            <w:tcBorders>
              <w:bottom w:val="single" w:sz="8" w:color="CCEEFF"/>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
        </w:trPr>
        <w:tc>
          <w:tcPr>
            <w:tcW w:w="4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CCEEFF"/>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EBITDA to income before income taxes consists of the following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62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4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8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
        </w:trPr>
        <w:tc>
          <w:tcPr>
            <w:tcW w:w="4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5"/>
              </w:rPr>
              <w:t>27.8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 in cost of revenues</w:t>
            </w:r>
          </w:p>
        </w:tc>
        <w:tc>
          <w:tcPr>
            <w:tcW w:w="100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6"/>
              </w:rPr>
              <w:t>(27.6)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 in 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6"/>
              </w:rPr>
              <w:t>(43.7)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00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6"/>
              </w:rPr>
              <w:t>(26.5)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5"/>
              </w:rPr>
              <w:t>71.0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65"/>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2"/>
                <w:szCs w:val="22"/>
                <w:color w:val="auto"/>
                <w:vertAlign w:val="superscript"/>
              </w:rPr>
              <w:t>(1)</w:t>
            </w:r>
          </w:p>
        </w:tc>
        <w:tc>
          <w:tcPr>
            <w:tcW w:w="10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16.3</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5"/>
              </w:rPr>
              <w:t>13.9</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21.6</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5"/>
              </w:rPr>
              <w:t>14.9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240" w:firstLine="4"/>
        <w:spacing w:after="0" w:line="276" w:lineRule="auto"/>
        <w:tabs>
          <w:tab w:leader="none" w:pos="15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$8.5 million and $8.3 million of depreciation and amortization expense including above-market lease amortization associated with lessor activities for the three months ended June 30, 2025 and 2024, respectively, and $13.5 million and $13.8 million for the six months ended June 30, 2025 and 2024, respectively.</w:t>
      </w: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Summarized information by operating segment consists of the following (in millions):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50"/>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8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w:t>
            </w: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8"/>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1"/>
        </w:trPr>
        <w:tc>
          <w:tcPr>
            <w:tcW w:w="8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w:t>
            </w: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5"/>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8,852.0</w:t>
            </w: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58"/>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2"/>
        </w:trPr>
        <w:tc>
          <w:tcPr>
            <w:tcW w:w="8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w:t>
            </w: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5"/>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2025, the Board of Directors approved the Stock Repurchase Program that authorizes the repurchase of up to $500 million of the CoStar Group Shares. Stock repurchases may be effected through open market repurchases in compliance with Rule 10b-18 under the Exchange Act or through a trading plan adopted in accordance with Rule 10b5-1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the Company repurchased 825,000 CoStar Group Shares for an aggregate cost of $63.8 million. As of June 30, 2025, $436.2 million remains available for repurchases under the Stock Repurchase Program. Shares of common stock repurchased under the Stock Repurchase Program become treasury shares and are accounted for when the transaction is settled. Direct costs incurred to acquire the shares are included in the total cost of the shares.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2 million shares of preferred stock, $0.01 par value, authorized for issuance. The Board of Directors may issue the preferred stock from time to time as shares of one or more classes or series.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1.2 billion CoStar Group Shares,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April 2007, the Board of Directors adopted the CoStar Group 2007 Stock Incentive Plan (as amended, the “2007 Plan”), subject to stockholder approval, which was obtained on June 7, 2007. In April 2016, the Board of Directors adopted the CoStar Group 2016 Stock Incentive Plan (as amended, the “2016 Plan”), subject to stockholder approval, which was obtained on June 9, 2016. All shares of common stock that were authorized for issuance under the 2007 Plan that, as of June 9, 2016, remained available for issuance under the 2007 Plan (excluding shares subject to outstanding awards) were rolled into the 2016 Plan and, as of that date, no shares of common stock were available for new awards under the 2007 Plan. The 2007 Plan continues to govern vested unexercised stock options issued prior to June 9, 2016. Upon the occurrence of a Change of Control, as defined in the 2007 Plan, all outstanding unexercisable options under the 2007 Plan immediately become exercisable.</w:t>
      </w:r>
    </w:p>
    <w:p>
      <w:pPr>
        <w:spacing w:after="0" w:line="14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2016 Plan provides for the grant of stock options, restricted stock, restricted stock units, and stock appreciation rights to officers, employees, and directors of the Company and its subsidiaries. Stock options granted under the 2016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2016 Plan is determined by the Board of Directors or a committee thereof and is generally three to four years, subject to minimum vesting periods for restricted stock and restricted stock units of at least one year. In some cases, vesting of awards under the 2016 Plan may be based on performance conditions. The Company initially reserved approximately 22.7 million shares of common stock for issuance under the 2016 Plan, which included shares of common stock that were authorized and remained available for issuance under the 2007 Plan as of June 9, 2016. Any shares of common stock subject to (a) outstanding awards under the 2007 Plan as of June 9, 2016 or (b) outstanding awards under the 2016 Plan after June 9, 2016, that cease for any reason to be subject to such awards (other than by reason of exercise or settlement of the awards to the extent they are exercised or settled in vested and nonforfeitable shares) will become authorized and unissued under the 2016 Plan. Pursuant to the terms of the 2016 Plan, all amounts reserved or issued under the plan were adjusted to reflect the Company’s ten-for-one common stock split. Unless terminated sooner, the 2016 Plan will terminate in June 2026, but will continue to govern unexercised and unexpired awards issued under the 2016 Plan prior to that date. Approximately 10.0 million shares were available for future grant under the 2016 Plan as of June 30, 2025.</w:t>
      </w:r>
    </w:p>
    <w:p>
      <w:pPr>
        <w:spacing w:after="0" w:line="1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Matterport Acquisition, the Company assumed Matterport's 2021 Incentive Award Plan and the Matterport Amended and Restated 2011 Stock Incentive Plan, including outstanding restricted stock units and stock options originally granted by Matterport under the Assumed Matterport Plans to continuing employees. These assumed awards will vest in accordance with their original terms, generally over four years. The Company does not intend to issue further grants under these plans. Shares forfeited due to employee termination or expiration are returned to the share pool. As of June 30, 2025, approximately 1.8 million shares remained available under the Assumed Matterport Plans.</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April 28, 2025, the Board of Directors approved the CoStar Group, Inc. 2025 Stock Incentive Plan (the “2025 Plan”), subject to the stockholder approval, which was obtained on June 26, 2025. All shares of common stock that were authorized for issuance under the 2016 Plan that, as of April 28, 2025, remained available for issuance under the 2016 Plan (excluding shares subject to outstanding awards) were rolled into the 2025 Plan and, following stockholder approval of the 2025 Plan, no further grants will be made under the 2016 Plan.</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June 30, 2025, there was approximately $327.4 million of unrecognized compensation cost related to stock incentive plans, net of estimated forfeitures, which the Company expects to recognize over a weighted-average-period of 2.7. See Note 2 for further discussion of stock-based compensation expense.</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8"/>
        </w:trPr>
        <w:tc>
          <w:tcPr>
            <w:tcW w:w="5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 activity was as follows: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6"/>
        </w:trPr>
        <w:tc>
          <w:tcPr>
            <w:tcW w:w="5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2"/>
        </w:trPr>
        <w:tc>
          <w:tcPr>
            <w:tcW w:w="5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2"/>
        </w:trPr>
        <w:tc>
          <w:tcPr>
            <w:tcW w:w="5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2"/>
        </w:trPr>
        <w:tc>
          <w:tcPr>
            <w:tcW w:w="532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Contract</w:t>
            </w: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3"/>
        </w:trPr>
        <w:tc>
          <w:tcPr>
            <w:tcW w:w="5320" w:type="dxa"/>
            <w:vAlign w:val="bottom"/>
          </w:tcPr>
          <w:p>
            <w:pPr>
              <w:spacing w:after="0"/>
              <w:rPr>
                <w:sz w:val="20"/>
                <w:szCs w:val="20"/>
                <w:color w:val="auto"/>
              </w:rPr>
            </w:pP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00" w:type="dxa"/>
            <w:vAlign w:val="bottom"/>
          </w:tcPr>
          <w:p>
            <w:pPr>
              <w:spacing w:after="0"/>
              <w:rPr>
                <w:sz w:val="20"/>
                <w:szCs w:val="20"/>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r>
      <w:tr>
        <w:trPr>
          <w:trHeight w:val="25"/>
        </w:trPr>
        <w:tc>
          <w:tcPr>
            <w:tcW w:w="53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in Matterport Acquisition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1,799,170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
        </w:trPr>
        <w:tc>
          <w:tcPr>
            <w:tcW w:w="5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(502,578)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6"/>
        </w:trPr>
        <w:tc>
          <w:tcPr>
            <w:tcW w:w="5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 or expired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5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3,387,882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4.45</w:t>
            </w:r>
          </w:p>
        </w:tc>
        <w:tc>
          <w:tcPr>
            <w:tcW w:w="12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28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3,033,446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estimated the fair value of each option granted on the date of grant using the Black-Scholes option-pricing model, using the assumptions in the following table:</w:t>
      </w:r>
    </w:p>
    <w:p>
      <w:pPr>
        <w:spacing w:after="0" w:line="175"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19685</wp:posOffset>
            </wp:positionV>
            <wp:extent cx="18929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5"/>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3"/>
              </w:rPr>
              <w:t>30.05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31.57</w:t>
            </w:r>
          </w:p>
        </w:tc>
      </w:tr>
      <w:tr>
        <w:trPr>
          <w:trHeight w:val="25"/>
        </w:trPr>
        <w:tc>
          <w:tcPr>
            <w:tcW w:w="8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grants restricted common stock to certain executive officers, directors, and employees of the Company which vest over a specific service period. Executive officers also receive restricted common stock, which vests based on the achievement of certain performance conditions, primarily, the achievement of a three-year cumulative revenue goal established at the grant date. The CEO of the Company has approved grants of restricted common stock to other executive officers and employees of the Company that vest over a specific service period and to other executive officers that vest based on the achievement of certain performance conditions, primarily, the achievement of revenue growth and profit margins established at the grant date. The grant of awards with performance conditions supports the Company’s goal of aligning executive incentives with long-term stockholder value and ensuring that executive officers have a continuing stake in the long-term success of the Company.</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vesting of restricted common stock is subject to continuing employment requirements. Certain performance-based restricted common stock awards are also subject to a market condition such that the actual number of shares that vest at the end of the respective three-year period is determined based on the Company’s achievement of performance goals and an established</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Company specific TSR factor relative to the S&amp;P 500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S&amp;P 500 Index over the respective three-year period.</w:t>
      </w:r>
    </w:p>
    <w:p>
      <w:pPr>
        <w:spacing w:after="0" w:line="1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its performance-based restricted stock awards with market conditions on the date of grant using a Monte-Carlo simulation valuation model. This pricing model uses multiple simulations to evaluate the probability of achieving the market condition to calculate the fair value of the awards. Expense is only recorded for awards that are expected to vest, net of estimated forfeitures. The assumptions used to estimate the fair value of performance-based restricted stock awards with market conditions were as follows:</w:t>
      </w:r>
    </w:p>
    <w:p>
      <w:pPr>
        <w:spacing w:after="0" w:line="20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19685</wp:posOffset>
            </wp:positionV>
            <wp:extent cx="1934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6"/>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85.29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86.96</w:t>
            </w:r>
          </w:p>
        </w:tc>
      </w:tr>
      <w:tr>
        <w:trPr>
          <w:trHeight w:val="26"/>
        </w:trPr>
        <w:tc>
          <w:tcPr>
            <w:tcW w:w="8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S&amp;P 500 Index over a period consistent with the expected life of the awards. The risk-free interest rate is based on the U.S. Treasury rate with terms similar to the expected life of the awards. The expected life is consistent with the performance measurement period of the awards.</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the Company determined that it was probable that at least the minimum performance goals associated with performance-based restricted stock awards with market conditions granted during 2023, 2024, and 2025 would be met by their forfeiture dates. As of June 30, 2025, the Company determined that it was probable that at least the minimum performance goals associated with performance-based restricted stock awards without market conditions granted during the first quarter of 2025 would be met by their forfeiture dates.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stock-based compensation expense related to performance-based restricted stock awards for the three and six months ended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50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3"/>
        </w:trPr>
        <w:tc>
          <w:tcPr>
            <w:tcW w:w="5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gridSpan w:val="3"/>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r>
      <w:tr>
        <w:trPr>
          <w:trHeight w:val="25"/>
        </w:trPr>
        <w:tc>
          <w:tcPr>
            <w:tcW w:w="5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2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5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awards without market conditions</w:t>
            </w:r>
          </w:p>
        </w:tc>
        <w:tc>
          <w:tcPr>
            <w:tcW w:w="100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awards with market conditions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the Company expects to record an aggregate stock-based compensation expense of approximately $46.5 million for performance-based restricted stock awards over the remainder of 2025 and in 2026, 2027, and 2028.</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1" w:name="page42"/>
    <w:bookmarkEnd w:id="4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unvested restricted stock awards activity for the six months ended June 30, 2025:</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Restricted Stock Awards — without</w:t>
            </w: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Restricted Stock Awards — with</w:t>
            </w: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p>
        </w:tc>
        <w:tc>
          <w:tcPr>
            <w:tcW w:w="3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Market Condition</w:t>
            </w:r>
          </w:p>
        </w:tc>
        <w:tc>
          <w:tcPr>
            <w:tcW w:w="274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Market Condition</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Weighted-Avera</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Fair Value per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pe</w:t>
            </w: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Share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at December 31, 2024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2,554,989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1,919,780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435,120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(808,475)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(124,068)</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(187,228)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at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3,479,066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unvested restricted stock units activity for the six months ended June 30, 2025:</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Weighted-Avera</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pe</w:t>
            </w: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2024</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Assumed in Matterport Acquisition</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2,256,423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(586,779)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June 30, 2025</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1,638,561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9"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after the balance sheet date up to the date that the condensed consolidated financial statements were issued. Based upon this review, the Company did not identify any material subsequent events that required adjustment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530" w:right="239" w:bottom="1440" w:gutter="0" w:footer="0" w:header="0"/>
        </w:sectPr>
      </w:pPr>
    </w:p>
    <w:bookmarkStart w:id="42" w:name="page43"/>
    <w:bookmarkEnd w:id="4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at the end of this Item 2, “Risk Factors” in Item 1A of Part I of our 2024 Form 10-K and “Risk Factors” in Item 1A of Part II of this Report, as well as those described from time to time in our filings with the SEC.</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filing, and we assume no obligation to update such statements, whether as a result of new information, future events or otherwise, except as required by applicable law. The following discussion should be read in conjunction with our 2024 Form 10-K, our subsequent Quarterly Reports on Form 10-Q, Current Reports on Form 8-K, other filings with the SEC, and the condensed consolidated financial statements and related notes included in this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9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CoStar Group is a leading provider of online real estate marketplaces, information, analytics, and 3D digital twin technology in the property markets, based on the numbers of unique visitors and site visits per month; provide more information, analytics, and marketing services than many of our competitors; offer the most comprehensive commercial real estate database available; and have the largest commercial real estate research department in the industry. We have created and compiled a standardized platform of real estate information and analytics and online marketplaces where industry professionals, consumers of commercial real estate, including apartments, and the related business communities, can continuously interact and facilitate transactions by efficiently accessing and exchanging accurate and standardized real estate-related information. Our service offerings span all property types, including office, retail, industrial, multifamily, land, mixed-use, and hospitality. We also offer online platforms that manage workflow and marketing for residential real estate agents and brokers and provide portals for homebuyers to view residential property listings.</w:t>
      </w:r>
    </w:p>
    <w:p>
      <w:pPr>
        <w:spacing w:after="0" w:line="15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manage our business geographically in two operating segments, with our primary areas of measurement and decision-making being North America, which includes the U.S. and Canada, and International, which primarily includes Europe, Asia-Pacific, and Latin America.</w:t>
      </w:r>
    </w:p>
    <w:p>
      <w:pPr>
        <w:spacing w:after="0" w:line="12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services are typically distributed to our customers under subscription-based license agreements that generally renew automatically, a majority of which have a term of at least one year. Upon renewal, many of the subscription contract rates may change in accordance with contract provisions or as a result of contract renegotiations. To encourage customers to use our 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customer’s business focus, the customer's geographic location, the number of properties reported on or analyzed, the number and types of services to which a customer subscribes, the number of digital twins hosted, the number of properties a customer advertises and the prominence and placement of a customer's advertised properties in the search results. Our subscription customers generally pay contract fees on a monthly basis, but in some cases may pay us on a quarterly or annual basis. Our transaction-based services primarily consist of auction fees from our Ten-X online auction platform for commercial real estate, the sales of Matterport cameras and capture equipment, and providing assistance with the data capture process to create digital twins through Matterport. Other transaction-based services are described by service offering below.</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portfolio of information, analytics, online real estate marketplaces, and 3D digital twin technology is branded and marketed to our customers and marketplace end users under the primary brands of CoStar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Apartments.com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LoopNet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OnTheMarket, Homes.com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Matterport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Land.com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Ten-X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services are accessible via the internet and through our mobile applications. Our services are primarily derived from a database of building-specific information and offer customers specialized tools for accessing, analyzing, and using our information. Over time, we have enhanced and expanded, and we expect to continue to enhance and expand, our existing information, analytics, and online marketplaces. We have developed and we expect to continue to develop additional services leveraging our centralized database and 3D digital twin technology to meet the needs of our existing customers as well as potential new categories of customers.</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8"/>
          <w:szCs w:val="18"/>
          <w:color w:val="auto"/>
        </w:rPr>
        <w:t>Our principal services are described in the following paragraphs: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CoStar</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CoStar is our subscription-based integrated platform for commercial real estate intelligence, which includes information about commercial real estate properties, properties for sale, comparable sales, tenants, space available for lease, industry professionals and their business relationships, industry news and market status and provides benchmarking for the hospitality industry, lease analytical capabilities, and risk management capabilities for lenders. CoStar's revenue growth rate for the six months ended June 30, 2025 decreased compared to the revenue growth rate for the six months ended June 30, 2024, due to a lack of benefit from converting legacy STR customers to our new CoStar-based benchmarking product realized in 2024. We expect CoStar's revenue growth rate for the year ending December 31, 2025 to decrease compared to the revenue growth rate for the year ended December 31, 2024, primarily due to a lack of benefit from converting legacy STR customers to our new CoStar-based benchmarking product realized in 2024.</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Information Services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provide real estate and lease management technology solutions, including lease administration, lease accounting, transaction management, and professional services through our CoStar Real Estate Manager and Visual Lease service offerings. Information Services' revenue growth rate for the six months ended June 30, 2025 increased compared to the revenue growth rate for the six months ended June 30, 2024 primarily as a result of the Visual Lease Acquisition. We expect the Information Services revenue growth rate for the year ending December 31, 2025 to increase compared to the revenue growth rate for the year ended December 31, 2024 as a result of the Visual Lease Acquisition.</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Multifamily</w:t>
      </w:r>
    </w:p>
    <w:p>
      <w:pPr>
        <w:spacing w:after="0" w:line="17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Apartments.com is the flagship brand of our apartment marketing network of subscription-based advertising services and provides property management companies and landlords with a comprehensive advertising destination for their available rental units. In addition, it offers renters a platform for searching for available rentals and earns transaction-based revenue primarily from providing online tenant applications, including background and credit checks, and rental payment processing. Multifamily's revenue growth rate for the six months ended June 30, 2025 moderated compared to the revenue growth rate for the six months ended June 30, 2024, primarily due to the impact in 2025 of pivoting the Apartments.com sales force to support the Homes.com product launch in 2024. We expect the Multifamily revenue growth rate for the year ending December 31, 2025 to moderate compared to the revenue growth rate for the year ended December 31, 2024, due to the impact in 2025 of pivoting the Apartments.com sales force to support the Homes.com product launch in 2024.</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LoopNet</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LoopNet Network of commercial real estate websites offers subscription-based, online marketplace services that enable commercial property owners, landlords, and real estate agents working on their behalf to advertise properties for sale or for lease. Commercial real estate agents, buyers, and tenants use the LoopNet Network of online marketplace services to search for available property listings that meet their criteria. LoopNet's revenue growth rate for the six months ended June 30, 2025 was consistent with the revenue growth rate for the six months ended June 30, 2024. We expect LoopNet's revenue growth rate for the year ending December 31, 2025 to increase compared to the revenue growth rate for the year ended December 31, 2024 due to an increase in the average revenue per listing, as well as an increase in the number of listings on our sites.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Residential</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Homes.com offers real estate agents subscription memberships promoting the agent's home listings and profile on our websites. Homebuyers and real estate agents use Homes.com to find their dream homes using our proprietary research and neighborhood content combined with listing information. OnTheMarket is a property portal in the U.K., which primarily hosts agents' listings on a subscription basis. Residential's revenues for the six months ended June 30, 2025 increased compared to the six months ended June 30, 2024, primarily due to an increase in the number of Homes.com memberships, partially offset by the discontinuation of certain products that were inconsistent with our long-term business strategy. We expect Residential's revenues for the year ending December 31, 2025 to increase compared to the year ended December 31, 2024, due to additional sales of our Homes.com memberships.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other revenues include revenues from the Matterport Acquisition, our Land.com Network, BizBuySell Network, and Ten-X, an online auction platform for commercial real estate. Matterport primarily provides hosting services for its 3D digital twins on a subscription basis. Matterport also provides capture services of spatial data and other add-on services to existing</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subscription customers and sells 3D capture cameras and third-party capture devices to customers. The Land.com Network provides online marketplaces for rural lands for sale. Our BizBuySell Network provides online marketplaces for businesses and franchises for sale. Other revenues for the six months ended June 30, 2025 increased compared to the six months ended June 30, 2024, primarily due to the Matterport Acquisition. We expect other revenues for the year ending December 31, 2025 to increase compared to the year ended December 31, 2024 primarily due to the Matterport Acquisition.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Subscription-based Services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majority of our revenue is generated from service offerings that are distributed to our customers under subscription-based agreements that typically renew automatically and have a term of at least one year. We recognize subscription revenues on a straight-line basis over the life of the contract.</w:t>
      </w:r>
    </w:p>
    <w:p>
      <w:pPr>
        <w:spacing w:after="0" w:line="1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2025 and 2024, our annualized net new bookings of subscription-based services on all contracts were $93 million and $67 million, respectively. Net new bookings is calculated based on the annualized amount of change in our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revenues over time. Revenues from our subscription-based contracts were approximately 95% and 96% of total revenues for the three months ended June 30, 2025 and 2024, respectively.</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trailing 12 months ended June 30, 2025 and 2024, our contract renewal rates for existing company-wide CoStar Group subscription-based services for contracts with a term of at least one year were approximately 89% and 90%, respectively, and, therefore, our cancellation rates for those services for the same periods were approximately 11% and 10%, respectively. Contract renewal rates are calculated on all subscription-based contracts with a term of at least one year.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customers, reductions in customer spending or decreases in our customer base. Revenues from our subscription-based contracts with a term of at least one year were approximately 79% and 81% of total revenues for the trailing 12 months ended June 30, 2025 and 2024, respectively. The decrease in the percentage of revenues from our subscription-based contracts with a term of at least one year is due to the transactional product sales and services from Matterport.</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Development, Investments, and Expansion</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plan to continue to invest in our business and our services, evaluate strategic growth opportunities, and pursue our key priorities as described below. We are committed to supporting, improving, and enhancing our information, analytics, and online marketplace solutions,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key priorities for the remainder of 2025 currently include:</w:t>
      </w:r>
    </w:p>
    <w:p>
      <w:pPr>
        <w:spacing w:after="0" w:line="177" w:lineRule="exact"/>
        <w:rPr>
          <w:sz w:val="20"/>
          <w:szCs w:val="20"/>
          <w:color w:val="auto"/>
        </w:rPr>
      </w:pPr>
    </w:p>
    <w:p>
      <w:pPr>
        <w:jc w:val="both"/>
        <w:ind w:left="640" w:hanging="316"/>
        <w:spacing w:after="0" w:line="255" w:lineRule="auto"/>
        <w:tabs>
          <w:tab w:leader="none" w:pos="6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Continuing to invest in and develop Homes.com. In 2024, we launched Homes.com memberships giving real estate agents the ability to advertise and promote their listings on our website featuring original, media rich content. We plan to continue hiring our dedicated Homes.com sales force; raising unaided brand awareness of the site through targeted marketing campaigns; and focusing on attracting recurring visitors to the site. In addition, we plan to develop and market additional products.</w:t>
      </w:r>
    </w:p>
    <w:p>
      <w:pPr>
        <w:spacing w:after="0" w:line="140" w:lineRule="exact"/>
        <w:rPr>
          <w:rFonts w:ascii="Times New Roman" w:cs="Times New Roman" w:eastAsia="Times New Roman" w:hAnsi="Times New Roman"/>
          <w:sz w:val="18"/>
          <w:szCs w:val="18"/>
          <w:i w:val="1"/>
          <w:iCs w:val="1"/>
          <w:color w:val="auto"/>
        </w:rPr>
      </w:pPr>
    </w:p>
    <w:p>
      <w:pPr>
        <w:jc w:val="both"/>
        <w:ind w:left="640" w:hanging="316"/>
        <w:spacing w:after="0" w:line="274"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Matterport's existing AI, computer vision, and machine learning across our products to build features that will enhance user experience to drive better engagement with our existing products and use the capability from the Matterport Acquisition to increase development of AI, computer vision, and machine learning to improve property analytics, optimize operational efficiency, and broaden the use of digital twin technologies throughout the real estate industry. We also intend to integrate Matterport's equipment and services into new market offerings to customers.</w:t>
      </w:r>
    </w:p>
    <w:p>
      <w:pPr>
        <w:spacing w:after="0" w:line="200" w:lineRule="exact"/>
        <w:rPr>
          <w:sz w:val="20"/>
          <w:szCs w:val="20"/>
          <w:color w:val="auto"/>
        </w:rPr>
      </w:pP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5" w:name="page46"/>
    <w:bookmarkEnd w:id="45"/>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expand our CoStar and LoopNet products internationally. We continue to increase our international research team to collect data in European markets. We have launched our LoopNet branded advertising products in Spain and plan to launch our LoopNet brand in France and continue to expand our footprint of commercial listings.</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aggregate and anonymized data from leases within CoStar Real Estate Manager and Visual Lease to create a trusted source of pricing and occupancy information for Commercial Real Estate. We also plan to begin the integration of the CoStar Real Estate Manager and Visual Lease products.</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expect our investment in the sales force will increase our selling and marketing expenses (excluding customer base amortization) for the year ending December 31, 2025 compared to the year ended December 31, 2024. We intend to continue to assess the need for additional investments in 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3"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adjusted EBITDA margin, non-GAAP net income, and non-GAAP net income per diluted share. EBITDA is our net income (loss) before interest income or expense, net, other expense or income, net, loss on debt extinguishment, income taxes, depreciation, and amortization. We typically disclose EBITDA on a consolidated and an operating segment basis in our earnings releases, investor conference calls, and filings with the SEC. 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Adjusted EBITDA margin represents adjusted EBITDA divided by revenues for the period. Non-GAAP net income is determined by adjusting our net income (loss)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and loss on debt extinguishment, as well as amortization of acquired intangible assets and other related costs, and then subtracting an assumed provision for income taxes. Non-GAAP net income per diluted share is a non-GAAP financial measure that represents non-GAAP net income divided by the number of diluted shares outstanding for the period used in the calculation of GAAP net income per diluted share.</w:t>
      </w:r>
    </w:p>
    <w:p>
      <w:pPr>
        <w:spacing w:after="0" w:line="14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disclose adjusted EBITDA, adjusted EBITDA margin, non-GAAP net income, and non-GAAP net income per diluted share on a consolidated basis in our earnings releases, investor conference calls, and filings with the SEC.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146"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view EBITDA, adjusted EBITDA, adjusted EBITDA margin, non-GAAP net income, and non-GAAP net income per diluted share as operating performance measures. We believe that the most directly comparable GAAP financial measure to EBITDA, adjusted EBITDA, and non-GAAP net income is net income (loss). We believe the most directly comparable GAAP financial measure to non-GAAP net income per diluted share and adjusted EBITDA margin are net income (loss) per diluted share and net income (loss) divided by revenues, respectively. In calculating EBITDA, adjusted EBITDA, adjusted EBITDA margin, non-GAAP net income, and non-GAAP net income per diluted share,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non-GAAP net income, and non-GAAP net income per diluted share are not measurements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adjusted EBITDA, adjusted EBITDA margin, non-GAAP net income, and non-GAAP net income per diluted share as a substitute for any GAAP financial measure, including net income (loss) and net income (loss) per diluted share. In addition, we urge investors and potential investors in our securities to carefully review the GAAP financial information included as part of our Annual Reports on Form 10-K and Quarterly Reports on Form 10-Q that are filed with the</w:t>
      </w: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6" w:name="page47"/>
    <w:bookmarkEnd w:id="46"/>
    <w:p>
      <w:pPr>
        <w:jc w:val="both"/>
        <w:spacing w:after="0" w:line="274" w:lineRule="auto"/>
        <w:rPr>
          <w:sz w:val="20"/>
          <w:szCs w:val="20"/>
          <w:color w:val="auto"/>
        </w:rPr>
      </w:pPr>
      <w:r>
        <w:rPr>
          <w:rFonts w:ascii="Times New Roman" w:cs="Times New Roman" w:eastAsia="Times New Roman" w:hAnsi="Times New Roman"/>
          <w:sz w:val="18"/>
          <w:szCs w:val="18"/>
          <w:color w:val="auto"/>
        </w:rPr>
        <w:t>SEC, as well as our quarterly earnings releases, and compare the GAAP financial information with our EBITDA, adjusted EBITDA, adjusted EBITDA margin, non-GAAP net income, and non-GAAP net income per diluted share.</w:t>
      </w:r>
    </w:p>
    <w:p>
      <w:pPr>
        <w:spacing w:after="0" w:line="13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EBITDA, adjusted EBITDA, adjusted EBITDA margin,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30 years building our database of commercial real estate information and expanding our markets and services partially through acquisitions of complementary businesses. Due to these acquisitions, our net income (loss) has included significant charges for amortization of acquired intangible assets; depreciation and other amortization; acquisition- and integration-related costs, including gains or losses on equity investments acquired in prospective targets and related to deal-contingent financial instruments; restructuring and related costs, including certain advisory fees; and loss on debt extinguishment. Adjusted EBITDA, adjusted EBITDA margin,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integration-related costs; restructuring and related costs, including certain advisory fees; settlement and impairment costs incurred outside our ordinary course of business.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income or expense, net; other expense or income, net; income taxes; stock-based compensation expenses; acquisition- and integration-related costs; restructuring and related costs, including certain advisory fees;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non-GAAP net income, or non-GAAP net income per diluted share to provide a financial measure by which to compare our operating performance against that of other companies in our industry.</w:t>
      </w:r>
    </w:p>
    <w:p>
      <w:pPr>
        <w:spacing w:after="0" w:line="1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Set forth below are descriptions of financial items that have been excluded from net income (loss) to calculate EBITDA and the material limitations associated with using this non-GAAP financial measure as compared to net income (loss):</w:t>
      </w:r>
    </w:p>
    <w:p>
      <w:pPr>
        <w:spacing w:after="0" w:line="124" w:lineRule="exact"/>
        <w:rPr>
          <w:sz w:val="20"/>
          <w:szCs w:val="20"/>
          <w:color w:val="auto"/>
        </w:rPr>
      </w:pPr>
    </w:p>
    <w:p>
      <w:pPr>
        <w:jc w:val="both"/>
        <w:ind w:left="640" w:hanging="316"/>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in cost of revenues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15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income or expense, net and other expense or income, net we generate and incur may be useful for investors to consider and may result in current cash inflows and outflows. However, we do not consider the amount of interest income or expense, net and other expense or income, net to be a representative component of the day-to-day operating performance of our business.</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for investors to consider because it generally represents the taxes that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ind w:firstLine="318"/>
        <w:spacing w:after="0" w:line="274" w:lineRule="auto"/>
        <w:rPr>
          <w:sz w:val="20"/>
          <w:szCs w:val="20"/>
          <w:color w:val="auto"/>
        </w:rPr>
      </w:pPr>
      <w:r>
        <w:rPr>
          <w:rFonts w:ascii="Times New Roman" w:cs="Times New Roman" w:eastAsia="Times New Roman" w:hAnsi="Times New Roman"/>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 (loss):</w:t>
      </w:r>
    </w:p>
    <w:p>
      <w:pPr>
        <w:spacing w:after="0" w:line="137" w:lineRule="exact"/>
        <w:rPr>
          <w:sz w:val="20"/>
          <w:szCs w:val="20"/>
          <w:color w:val="auto"/>
        </w:rPr>
      </w:pPr>
    </w:p>
    <w:p>
      <w:pPr>
        <w:jc w:val="both"/>
        <w:ind w:left="640" w:hanging="316"/>
        <w:spacing w:after="0" w:line="274"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27" w:lineRule="exact"/>
        <w:rPr>
          <w:rFonts w:ascii="Times New Roman" w:cs="Times New Roman" w:eastAsia="Times New Roman" w:hAnsi="Times New Roman"/>
          <w:sz w:val="17"/>
          <w:szCs w:val="17"/>
          <w:color w:val="auto"/>
        </w:rPr>
      </w:pPr>
    </w:p>
    <w:p>
      <w:pPr>
        <w:jc w:val="both"/>
        <w:ind w:left="640" w:hanging="316"/>
        <w:spacing w:after="0" w:line="282"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spacing w:after="0" w:line="119" w:lineRule="exact"/>
        <w:rPr>
          <w:rFonts w:ascii="Times New Roman" w:cs="Times New Roman" w:eastAsia="Times New Roman" w:hAnsi="Times New Roman"/>
          <w:sz w:val="17"/>
          <w:szCs w:val="17"/>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settlement and impairment costs incurred outside of our ordinary course of business may be useful for investors to consider because they generally represent gains or losses from the settlement of litigation matters, charges related to terminations of contracts or impairments of acquired intangible assets or other long-lived assets. We do not believe these charges necessarily reflect the current and ongoing cash charges related to our operating cost structure.</w:t>
      </w:r>
    </w:p>
    <w:p>
      <w:pPr>
        <w:spacing w:after="0" w:line="153"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restructuring and related costs, including certain advisory costs, incurred may be useful for investors to consider because they generally represent costs incurred in connection with changes to the structure of our operations, governance, offices and related properties, and suppliers or employees used to deliver services and include costs to terminate contracts, advisory fees and other professional services, and severance. Because we do not carry out restructuring activities on a predictable cycle, we do not consider the amount of restructuring-related costs to be a representative component of the day-to-day operating performance of our business.</w:t>
      </w:r>
    </w:p>
    <w:p>
      <w:pPr>
        <w:spacing w:after="0" w:line="1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financial items that have been excluded from our net income to calculate non-GAAP net income and non-GAAP net income per diluted share are amortization of acquired intangible assets and other related costs, stock-based compensation, acquisition- and integration-related costs, including gains or losses on equity investments acquired in prospective targets and related to deal-contingent financial instruments; restructuring and related costs, and settlement and impairment costs incurred outside our ordinary course of business. These items are discussed above with respect to the calculation of adjusted EBITDA together with the material limitations associated with using non-GAAP financial measures as compared to net income (loss). In addition to these exclusions from net income, we subtract an assumed provision for income taxes to calculate non-GAAP net income. In both 2025 and 2024, we assume a 26.0% tax rate, which approximates our historical long-term statutory corporate tax rate, excluding the impact of discrete items.</w:t>
      </w:r>
    </w:p>
    <w:p>
      <w:pPr>
        <w:spacing w:after="0" w:line="1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17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compares our selected condensed consolidated results of operations for the three months ended June 30, 2025 and 2024 (in millions,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2"/>
                <w:szCs w:val="2"/>
                <w:color w:val="auto"/>
              </w:rPr>
            </w:pPr>
          </w:p>
        </w:tc>
        <w:tc>
          <w:tcPr>
            <w:tcW w:w="13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98"/>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(Decrease) ($)</w:t>
            </w:r>
          </w:p>
        </w:tc>
        <w:tc>
          <w:tcPr>
            <w:tcW w:w="10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(Decrease) (%)</w:t>
            </w: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CoStar</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 Services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LoopNet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development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$104 million, or 15%, to $781 million. The increase in our revenues included:</w:t>
      </w:r>
    </w:p>
    <w:p>
      <w:pPr>
        <w:spacing w:after="0" w:line="179"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revenues of $44 million, or 139%, primarily due to the Matterport Acquisition,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$28 million, or 11%, due to an increase in the number of properties listed on our network,</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$18 million, or 7%, due to increased sales driven by inflation-based price increases on renewals and an increase in subscribers,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$6 million, or 8%, due to an increase in the average price per listing, as well as the number of listings,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Information Services revenues of $6 million, or 18%, primarily attributable to the Visual Lease Acquisition, and</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9" w:name="page50"/>
    <w:bookmarkEnd w:id="49"/>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Residential revenues of $2 million, or 8%, due to an increase in the number of Homes.com memberships, partially offset by the discontinuation of certain products that were inconsistent with our long-term business strategy.</w:t>
      </w:r>
    </w:p>
    <w:p>
      <w:pPr>
        <w:spacing w:after="0" w:line="13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Gross Profit and Cost of Revenues</w:t>
      </w:r>
      <w:r>
        <w:rPr>
          <w:rFonts w:ascii="Times New Roman" w:cs="Times New Roman" w:eastAsia="Times New Roman" w:hAnsi="Times New Roman"/>
          <w:sz w:val="18"/>
          <w:szCs w:val="18"/>
          <w:color w:val="auto"/>
        </w:rPr>
        <w:t>. Gross profit increased $72 million, or 13%, to $614 million, and the gross profit margin decreased from 80% to 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gross profit was due to higher revenues, partially offset by an increase in cost of revenues. Cost of revenues increased $32 million, or 24%, to $168 million and, as a percentage of revenues, increased from 20% to 21%. The increase in cost of revenues primarily included:</w:t>
      </w:r>
    </w:p>
    <w:p>
      <w:pPr>
        <w:spacing w:after="0" w:line="135"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in amortization expense for the acquired technology and trade name from the Matterport Acquisition,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$8 million in costs related to sales of Matterport capture equipment and services,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$8 million related to additional headcount from the Matterport Acquisition,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for web hosting costs.</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Selling and Marketing Expenses (Excluding Customer Base Amortization)</w:t>
      </w:r>
      <w:r>
        <w:rPr>
          <w:rFonts w:ascii="Times New Roman" w:cs="Times New Roman" w:eastAsia="Times New Roman" w:hAnsi="Times New Roman"/>
          <w:sz w:val="18"/>
          <w:szCs w:val="18"/>
          <w:color w:val="auto"/>
        </w:rPr>
        <w:t>. Selling and marketing expenses increased $37 million, or 10%, to $395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as a percentage of revenues, decreased from 53% to 51%. The increase primarily included:</w:t>
      </w:r>
    </w:p>
    <w:p>
      <w:pPr>
        <w:spacing w:after="0" w:line="135"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$40 million related to sales hiring and the sales force from the Matterport Acquisition,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occupancy and equipment costs of $4 million related to our sales force,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 million in third party sales commissions for Matterport products, partially offset by</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marketing expenses of $13 million.</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Software Development Expenses</w:t>
      </w:r>
      <w:r>
        <w:rPr>
          <w:rFonts w:ascii="Times New Roman" w:cs="Times New Roman" w:eastAsia="Times New Roman" w:hAnsi="Times New Roman"/>
          <w:sz w:val="18"/>
          <w:szCs w:val="18"/>
          <w:color w:val="auto"/>
        </w:rPr>
        <w:t>. Software development expenses increased $18 million, or 22%, to $97 million and, as a percentage of revenues,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at 12%. The increase primarily included:</w:t>
      </w:r>
    </w:p>
    <w:p>
      <w:pPr>
        <w:spacing w:after="0" w:line="122" w:lineRule="exact"/>
        <w:rPr>
          <w:sz w:val="20"/>
          <w:szCs w:val="20"/>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$15 million primarily due to additional headcount from the Matterport Acquisition, as well as costs for our existing employees and</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occupancy and equipment costs of $2 million.</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$12 million, or 11%, to $122 million and,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were consistent at 16%. The increase primarily included:</w:t>
      </w:r>
    </w:p>
    <w:p>
      <w:pPr>
        <w:spacing w:after="0" w:line="109"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and related costs of $24 million, primarily due to additional headcount from the Matterport Acquisition, partially offset by</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professional service fees of $9 million, primarily related to acquisition activities,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occupancy and equipment costs of $3 million.</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Customer Base Amortization Expense</w:t>
      </w:r>
      <w:r>
        <w:rPr>
          <w:rFonts w:ascii="Times New Roman" w:cs="Times New Roman" w:eastAsia="Times New Roman" w:hAnsi="Times New Roman"/>
          <w:sz w:val="18"/>
          <w:szCs w:val="18"/>
          <w:color w:val="auto"/>
        </w:rPr>
        <w:t>. Customer base amortization expense increased $16 million, or 160%, to $27 million, and,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increased from 2% to 3%. The increase was primarily due to the Matterport Acquisition and Visual Lease Acquisition.</w:t>
      </w:r>
    </w:p>
    <w:p>
      <w:pPr>
        <w:spacing w:after="0" w:line="107"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decreased $21 million, or 39%, to $33 million. The decrease was primarily due to a decrease in our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net, for the three months ended June 30, 2025 primarily included:</w:t>
      </w:r>
    </w:p>
    <w:p>
      <w:pPr>
        <w:spacing w:after="0" w:line="179" w:lineRule="exact"/>
        <w:rPr>
          <w:sz w:val="20"/>
          <w:szCs w:val="20"/>
          <w:color w:val="auto"/>
        </w:rPr>
      </w:pPr>
    </w:p>
    <w:p>
      <w:pPr>
        <w:ind w:left="640" w:right="2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unrealized gain of $13 million on the deal-contingent forward U.S. dollar to Australian dollar contracts entered into in conjunction with the Domain Transaction,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unrealized gain of $9 million related to the equity securities of Domain Group Holdings, LLC partially offset by</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0" w:name="page51"/>
    <w:bookmarkEnd w:id="50"/>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and amortization expense from leasing activities driven by a change in the useful life of improvements related to tenants who have modified their leases.</w:t>
      </w:r>
    </w:p>
    <w:p>
      <w:pPr>
        <w:spacing w:after="0" w:line="13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decreased $1 million, or 8%, to $15 million, and the effective tax rate was 71% of income before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2025 compared to 47% of income before income taxes for the three months ended June 30, 2024. The decrease in income tax expense was primarily attributable to lower income before income taxes.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Segment Results for Three Months Ended June 30, 2025 Compared to Three Months Ended June 30, 2024</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manage our business geographically in two operating segments, with our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EBITDA. Management believes that operating segment EBITDA is an appropriate measure for evaluating the operational performance of our operating segments. EBITDA is used by management internally to measure our operating and management performance and to evaluate the performance of our business. However, this measure should be considered in addition to, not as a substitute for or superior to, (loss) income from operations or other measures of financial performance prepared in accordance with GAAP. See “Non-GAAP Financial Measures” for further information regarding our segment operating results.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Segment Revenues. </w:t>
      </w:r>
      <w:r>
        <w:rPr>
          <w:rFonts w:ascii="Times New Roman" w:cs="Times New Roman" w:eastAsia="Times New Roman" w:hAnsi="Times New Roman"/>
          <w:sz w:val="18"/>
          <w:szCs w:val="18"/>
          <w:color w:val="auto"/>
        </w:rPr>
        <w:t>North America revenues increased $100 million, or 16%, to $744 million and included:</w:t>
      </w:r>
    </w:p>
    <w:p>
      <w:pPr>
        <w:spacing w:after="0" w:line="179"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revenues of $44 million, primarily due to the Matterport Acquisition,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$28 million, primarily due to an increase in the number of properties listed on our network,</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$15 million, primarily due to increased sales driven by inflation-based price increases on renewals and an increase in subscribers,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Information Services revenues of $8 million, primarily attributable to the Visual Lease Acquisition,</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Residential revenues of $1 million, primarily due to an increase in the number of Homes.com memberships, partially offset by the discontinuation of certain products that were inconsistent with our long-term business strategy, and</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$5 million, primarily due to an increase in the average price per listing, as well as the number of listings.</w:t>
      </w:r>
    </w:p>
    <w:p>
      <w:pPr>
        <w:spacing w:after="0" w:line="17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$3 million, or 10%, increase in International revenues was primarily attributable to an increase in CoStar sales driven by inflation-based price increases on renewals and an increase in subscribers.</w:t>
      </w:r>
    </w:p>
    <w:p>
      <w:pPr>
        <w:spacing w:after="0" w:line="12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Segment EBITDA</w:t>
      </w:r>
      <w:r>
        <w:rPr>
          <w:rFonts w:ascii="Times New Roman" w:cs="Times New Roman" w:eastAsia="Times New Roman" w:hAnsi="Times New Roman"/>
          <w:sz w:val="18"/>
          <w:szCs w:val="18"/>
          <w:color w:val="auto"/>
        </w:rPr>
        <w:t>. North America EBITDA increased $13 million, or 41%, to $43 million. The increase in North America EBITDA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revenues described above, partially offset by increases in personnel costs and general and administrative costs. International EBITDA increased $4 million to a loss of $15 million. The increase was primarily due to an increase in revenues and a decrease in marketing expenses, partially offset by an increase in occupancy costs.</w:t>
      </w: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9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 comparison of our selected condensed consolidated results of operations for the six months ended June 30, 2025 and 2024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2"/>
                <w:szCs w:val="2"/>
                <w:color w:val="auto"/>
              </w:rPr>
            </w:pPr>
          </w:p>
        </w:tc>
        <w:tc>
          <w:tcPr>
            <w:tcW w:w="13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(Decrease) ($)</w:t>
            </w:r>
          </w:p>
        </w:tc>
        <w:tc>
          <w:tcPr>
            <w:tcW w:w="10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(Decrease) (%)</w:t>
            </w:r>
          </w:p>
        </w:tc>
        <w:tc>
          <w:tcPr>
            <w:tcW w:w="0" w:type="dxa"/>
            <w:vAlign w:val="bottom"/>
          </w:tcPr>
          <w:p>
            <w:pPr>
              <w:spacing w:after="0"/>
              <w:rPr>
                <w:sz w:val="1"/>
                <w:szCs w:val="1"/>
                <w:color w:val="auto"/>
              </w:rPr>
            </w:pPr>
          </w:p>
        </w:tc>
      </w:tr>
      <w:tr>
        <w:trPr>
          <w:trHeight w:val="26"/>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CoStar</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 Services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LoopNet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6"/>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development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$179 million, or 13%, to $1.5 billion. The increase in our revenues included:</w:t>
      </w:r>
    </w:p>
    <w:p>
      <w:pPr>
        <w:spacing w:after="0" w:line="166"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Revenues of $58 million, or 93%, primarily due to the Matterport Acquisition,</w:t>
      </w:r>
    </w:p>
    <w:p>
      <w:pPr>
        <w:spacing w:after="0" w:line="164"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$56 million, or 11%, due to an increase in the number of properties listed on our network, as well as customers selecting higher-priced ad packages,</w:t>
      </w:r>
    </w:p>
    <w:p>
      <w:pPr>
        <w:spacing w:after="0" w:line="124"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$33 million, or 6%, due to increased sales driven by inflation-based price increases on renewals and an increase in subscribers,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Information Services revenues of $13 million, or 19%, primarily attributable to the Visual Lease Acquisition,</w:t>
      </w:r>
    </w:p>
    <w:p>
      <w:pPr>
        <w:spacing w:after="0" w:line="177"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Residential revenues of $11 million, or 24%, due to an increase in the number of Homes.com memberships, partially offset by the discontinuation of certain products that were inconsistent with our long-term business strategy, and</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$10 million, or 7%, due to an increase in the average price per listing, as well as the number of listings.</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2" w:name="page53"/>
    <w:bookmarkEnd w:id="52"/>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Gross Profit and Cost of Revenues</w:t>
      </w:r>
      <w:r>
        <w:rPr>
          <w:rFonts w:ascii="Times New Roman" w:cs="Times New Roman" w:eastAsia="Times New Roman" w:hAnsi="Times New Roman"/>
          <w:sz w:val="18"/>
          <w:szCs w:val="18"/>
          <w:color w:val="auto"/>
        </w:rPr>
        <w:t>. Gross profit increased $135 million, or 13%, to $1,192 million, and the gross profit percentage was consistent at 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gross profit was due to higher revenues partially offset by an increase in cost of revenues. Cost of revenues increased $44 million, or 16%, to $321 million and, as a percentage of revenues, was consistent at 21%. The increase in cost of revenues included:</w:t>
      </w:r>
    </w:p>
    <w:p>
      <w:pPr>
        <w:spacing w:after="0" w:line="148"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in amortization expense for the acquired technology and trade name from the Matterport Acquisition,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$11 million in costs related to sales of Matterport capture equipment and services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$11 million related to the Matterport Acquisition,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 million for web hosting costs.</w:t>
      </w:r>
    </w:p>
    <w:p>
      <w:pPr>
        <w:spacing w:after="0" w:line="175" w:lineRule="exact"/>
        <w:rPr>
          <w:sz w:val="20"/>
          <w:szCs w:val="20"/>
          <w:color w:val="auto"/>
        </w:rPr>
      </w:pPr>
    </w:p>
    <w:p>
      <w:pPr>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Selling and Marketing Expenses (Excluding Customer Base Amortization)</w:t>
      </w:r>
      <w:r>
        <w:rPr>
          <w:rFonts w:ascii="Times New Roman" w:cs="Times New Roman" w:eastAsia="Times New Roman" w:hAnsi="Times New Roman"/>
          <w:sz w:val="18"/>
          <w:szCs w:val="18"/>
          <w:color w:val="auto"/>
        </w:rPr>
        <w:t>. Selling and marketing expenses increased $39 million, or 5%, to $764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a percentage of revenues, decreased from 54% to 50%. The increase included:</w:t>
      </w:r>
    </w:p>
    <w:p>
      <w:pPr>
        <w:spacing w:after="0" w:line="122"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$60 million related to sales hiring and the sales force from the Matterport Acquisition,</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occupancy and equipment costs of $7 million related to our sales force,</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travel costs of $5 million for trainings and customer engagement,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 million related to third party sales commissions, partially offset by</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marketing expenses of $37 million.</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Software Development Expenses</w:t>
      </w:r>
      <w:r>
        <w:rPr>
          <w:rFonts w:ascii="Times New Roman" w:cs="Times New Roman" w:eastAsia="Times New Roman" w:hAnsi="Times New Roman"/>
          <w:sz w:val="18"/>
          <w:szCs w:val="18"/>
          <w:color w:val="auto"/>
        </w:rPr>
        <w:t>. Software development expenses increased $30 million, or 18% to $192 million and, as a percentage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12% to 13%. The increase primarily included:</w:t>
      </w:r>
    </w:p>
    <w:p>
      <w:pPr>
        <w:spacing w:after="0" w:line="122" w:lineRule="exact"/>
        <w:rPr>
          <w:sz w:val="20"/>
          <w:szCs w:val="20"/>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$24 million due to additional headcount from the Matterport Acquisition,, as well as costs for our existing employees and</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occupancy and equipment costs of $2 million.</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$55 million, or 26%, to $263 million and,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increased from 16% to 17%. The increase primarily included:</w:t>
      </w:r>
    </w:p>
    <w:p>
      <w:pPr>
        <w:spacing w:after="0" w:line="109" w:lineRule="exact"/>
        <w:rPr>
          <w:sz w:val="20"/>
          <w:szCs w:val="20"/>
          <w:color w:val="auto"/>
        </w:rPr>
      </w:pPr>
    </w:p>
    <w:p>
      <w:pPr>
        <w:ind w:left="640" w:hanging="316"/>
        <w:spacing w:after="0" w:line="258"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and related costs of $33 million, primarily related to additional headcount from the Matterport Acquisition, as well as an increase in costs for our existing employees,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professional service fees of $16 million, primarily related to acquisition activities and costs to defend our intellectual property,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 million in costs of intellectual property disputes.</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Customer Base Amortization Expense</w:t>
      </w:r>
      <w:r>
        <w:rPr>
          <w:rFonts w:ascii="Times New Roman" w:cs="Times New Roman" w:eastAsia="Times New Roman" w:hAnsi="Times New Roman"/>
          <w:sz w:val="18"/>
          <w:szCs w:val="18"/>
          <w:color w:val="auto"/>
        </w:rPr>
        <w:t>. Customer base amortization expense increased $23 million, or 106%, to $44 million and,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increased from 2% to 3%. The increase was primarily due to the Matterport Acquisition and Visual Lease Acquisition.</w:t>
      </w:r>
    </w:p>
    <w:p>
      <w:pPr>
        <w:spacing w:after="0" w:line="107"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decreased $39 million, or 35%, to $71 million. The decrease was primarily due to a decrease in our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120"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net was $14 million for the six months ended June 30, 2025, a change of $17 million over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The increase primarily included:</w:t>
      </w:r>
    </w:p>
    <w:p>
      <w:pPr>
        <w:spacing w:after="0" w:line="135" w:lineRule="exact"/>
        <w:rPr>
          <w:sz w:val="20"/>
          <w:szCs w:val="20"/>
          <w:color w:val="auto"/>
        </w:rPr>
      </w:pPr>
    </w:p>
    <w:p>
      <w:pPr>
        <w:ind w:left="640" w:right="20" w:hanging="316"/>
        <w:spacing w:after="0" w:line="258"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unrealized gain of $13 million on the deal-contingent forward U.S. dollar to Australian dollar contracts entered into in conjunction with the Domain Transaction, and</w:t>
      </w:r>
    </w:p>
    <w:p>
      <w:pPr>
        <w:spacing w:after="0" w:line="13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unrealized gain of $12 million related to the equity securities of Domain Group Holdings LLC, partially offset by</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and amortization expense from leasing activities driven by a change in the useful life of improvements related to tenants who have modified their leases.</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3" w:name="page54"/>
    <w:bookmarkEnd w:id="53"/>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increased $2 million, or 9%, to $24 million and the effective tax rate was 158% of income before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2025 compared to 45% of income before income taxes for the six months ended June 30, 2024. The increase in income tax expense was primarily attributable to a discrete tax expense for transaction costs, partially offset by lower income before income taxes.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Segment Results for Six Months Ended June 30, 2025 Compared to Six Months Ended June 30, 2024</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manage our business geographically in two operating segments, with our primary areas of measurement and decision-making being North America, which includes the U.S. and Canada, and International, which primarily includes Europe, Asia-Pacific, and Latin America. Management relies on an internal management reporting process that provides revenues and operating segment EBITDA.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Segment Revenues</w:t>
      </w:r>
      <w:r>
        <w:rPr>
          <w:rFonts w:ascii="Times New Roman" w:cs="Times New Roman" w:eastAsia="Times New Roman" w:hAnsi="Times New Roman"/>
          <w:sz w:val="18"/>
          <w:szCs w:val="18"/>
          <w:color w:val="auto"/>
        </w:rPr>
        <w:t>. North America revenues increased $174 million, or 14%, to $1.4 billion and included:</w:t>
      </w:r>
    </w:p>
    <w:p>
      <w:pPr>
        <w:spacing w:after="0" w:line="193"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Revenues of $58 million, primarily due to the Matterport Acquisition,</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$56 million, primarily due to an increase in the number of properties listed on our network, as well as customers selecting higher-priced ad packages,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$26 million, primarily due to increased sales driven by inflation-based price increases on renewals and an increase in subscribers,</w:t>
      </w:r>
    </w:p>
    <w:p>
      <w:pPr>
        <w:spacing w:after="0" w:line="13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Information Services revenues of $16 million, primarily attributable to the Visual Lease Acquisition,</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$9 million, primarily due to an increase in the average price per listing, as well as the number of listings,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Residential revenues of $9 million, primarily due to an increase in the number of Homes.com memberships, partially offset by the discontinuation of certain products that were inconsistent with our long-term business strategy.</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$5 million, or 7%, increase in International revenues was primarily attributable to an increase in CoStar sales driven by inflation-based price increases on renewals and an increase in subscribers.</w:t>
      </w:r>
    </w:p>
    <w:p>
      <w:pPr>
        <w:spacing w:after="0" w:line="12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Segment EBITDA</w:t>
      </w:r>
      <w:r>
        <w:rPr>
          <w:rFonts w:ascii="Times New Roman" w:cs="Times New Roman" w:eastAsia="Times New Roman" w:hAnsi="Times New Roman"/>
          <w:sz w:val="18"/>
          <w:szCs w:val="18"/>
          <w:color w:val="auto"/>
        </w:rPr>
        <w:t>. North America EBITDA increased $18 million, or 54%, to $52 million. The increase in North America EBITDA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revenues described above and a decrease in marketing costs, partially offset by increases in personnel costs and general and administrative costs. International EBITDA increased $10 million to a loss of $25 million. The increase was primarily due to an increase in revenues, partially offset by an increase in personnel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the balance of cash, cash equivalents and restricted cash, which was $3.7 billion as of June 30, 2025, along with cash generated by ongoing operations and continued access to capital markets, will be sufficient to satisfy our cash requirements over the next 12 months and beyond. Other than the matters discussed below, our cash requirements have not changed materially from what is described in the 2024 Form 10-K.</w:t>
      </w:r>
    </w:p>
    <w:p>
      <w:pPr>
        <w:spacing w:after="0" w:line="13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Construction Commitments</w:t>
      </w:r>
      <w:r>
        <w:rPr>
          <w:rFonts w:ascii="Times New Roman" w:cs="Times New Roman" w:eastAsia="Times New Roman" w:hAnsi="Times New Roman"/>
          <w:sz w:val="18"/>
          <w:szCs w:val="18"/>
          <w:color w:val="auto"/>
        </w:rPr>
        <w:t>. We are expanding our Richmond, Virginia campus, which is expected to result in a material cash requirement in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We broke ground on the expansion in November 2022 and expect construction to be substantially completed in the first half of 2026. We have engaged a project manager, architects, and a general contractor on terms that generally require payments as services are provided or construction is performed. As of June 30, 2025, we were obligated to spend an additional $260 million as further work is performed under these contracts. We expect $150 million of these costs to be paid for the remainder of 2025 and intend to fund these expenditures with cash on hand.</w:t>
      </w:r>
    </w:p>
    <w:p>
      <w:pPr>
        <w:spacing w:after="0" w:line="14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conjunction with this expansion,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7"/>
          <w:szCs w:val="17"/>
          <w:color w:val="auto"/>
        </w:rPr>
        <w:t>of the tax incentives and repayment of previous tax reductions. The value of the allowance to use a market-based income apportionment for income taxes is dependent on our taxable income. We estimate the value of the allowance to use market-based income apportionment for income taxes for tax years 2023 to 2032 and partial reimbursements of property tax assessments related to the value of the campus expansion to be in the range of $275 million to $285 million.</w:t>
      </w:r>
    </w:p>
    <w:p>
      <w:pPr>
        <w:spacing w:after="0" w:line="13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Domain Transaction. </w:t>
      </w:r>
      <w:r>
        <w:rPr>
          <w:rFonts w:ascii="Times New Roman" w:cs="Times New Roman" w:eastAsia="Times New Roman" w:hAnsi="Times New Roman"/>
          <w:sz w:val="18"/>
          <w:szCs w:val="18"/>
          <w:color w:val="auto"/>
        </w:rPr>
        <w:t>From February 20, 2025 through February 21, 2025, in connection with the Domain Proposal, we acquired approximately 17%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ordinary shares of Domain at A$4.20 per share for a total purchase price of A$452 million ($285 million).</w:t>
      </w:r>
    </w:p>
    <w:p>
      <w:pPr>
        <w:spacing w:after="0" w:line="1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May 9, 2025, the Company entered into a binding Domain SID to acquire 100% of the issued capital of Domain not previously acquired by CoStar Group by way of Scheme of Arrangement. Pursuant to the Domain SID, Domain shareholders will be entitled to receive total cash consideration of A$4.43 per Domain ordinary share, less any special dividend declared and paid by Domain after May 9, 2025, subject to all applicable conditions being satisfied (or waived) and the scheme being implemented. The Company expects to spend approximately A$2.4 billion ($1.5 billion) to acquire the remaining approximately 83% of Domain’s ordinary shares upon consummation of the Domain Transaction, which is expected to occur in Q3 2025. The Domain Transaction remains subject to a number of conditions, including Domain shareholder approval, Australian Foreign Investment Review Board approval, as well as other customary conditions. Accordingly, there is no guarantee that the Scheme Implementation Deed will result in a transaction.</w:t>
      </w:r>
    </w:p>
    <w:p>
      <w:pPr>
        <w:spacing w:after="0" w:line="14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In February 2025, the Board of Directors approved the Stock Repurchase Program that authorizes the repurchase of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of the CoStar Group Shares. Stock repurchases may be effected through open market repurchases in compliance with Rule 10b-18 under the Exchange Act or through a trading plan adopted in accordance with Rule 10b5-1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w:t>
      </w:r>
    </w:p>
    <w:p>
      <w:pPr>
        <w:spacing w:after="0" w:line="157"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2025, the Company repurchased 825,000 CoStar Group Shares for an aggregate cost of $63.8 million. As of June 30, 2025, $436.2 million remains available for repurchases under the Stock Repurchase Program. The Company anticipates repurchasing at least $150 million of CoStar Group Shares in total in 2025.</w:t>
      </w:r>
    </w:p>
    <w:p>
      <w:pPr>
        <w:spacing w:after="0" w:line="13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on Hand </w:t>
      </w:r>
      <w:r>
        <w:rPr>
          <w:rFonts w:ascii="Times New Roman" w:cs="Times New Roman" w:eastAsia="Times New Roman" w:hAnsi="Times New Roman"/>
          <w:sz w:val="18"/>
          <w:szCs w:val="18"/>
          <w:color w:val="auto"/>
        </w:rPr>
        <w:t>Cash, cash equivalents, and restricted cash decreased to $3.7 billion as of June 30, 2025, compared to cash and cash equivalents of $4.7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as of December 31, 2024. The decrease in cash, cash equivalents, and restricted cash for the six months ended June 30, 2025 was primarily due to $1,061 million of net cash used in investing activities and net cash used in financing activities of $98 million partially offset by cash provided by operating activities of $200 million.</w:t>
      </w:r>
    </w:p>
    <w:p>
      <w:pPr>
        <w:spacing w:after="0" w:line="13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was $200 million compared to $198 million for the six months ended June 30, 2024. The $2 million increase in net cash provided by operating activities was primarily driven by a decrease in working capital of $24 million and a decrease in net income.</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$1,061 million compared to $478 million for the six months ended June 30, 2024, primarily driven by the Matterport Acquisition and the purchase of equity securities, partially offset by proceeds from the sale and settlement of investments and a decrease in purchases of property, equipment, and other assets for new campuses.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2025 was $98 million compared to $15 million for the six months ended June 30, 2024. The increase was primarily driven by repurchases of the Company's outstanding common stock under the Stock Repurchase Program and repurchases of restricted stock to satisfy tax withholding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judgments and assumptions that affect the reported amounts of assets, liabilities, revenue and expenses, and related disclosures.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accounting for the following matters to contain critical accounting estimates:</w:t>
      </w:r>
    </w:p>
    <w:p>
      <w:pPr>
        <w:spacing w:after="0" w:line="145"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5" w:name="page56"/>
    <w:bookmarkEnd w:id="55"/>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an in-depth discussion of each of our significant accounting policies, including the related critical accounting estimates and further information regarding estimates and assumptions involved in their application, see the 2024 Form 10-K and Note 2 of the Notes to Condensed Consolidated Financial Statements included in Part I of this Report. During the six months ended June 30, 2025, there were no material changes to our critical accounting estimates from those described in the 2024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of the Notes to Condensed Consolidated Financial Statements included in Part I of this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made forward-looking statements in this Report and make forward-looking statements in our other reports filed with the SEC, press releases, and conference calls that are subject to risks and uncertainties. Forward-looking statements include information that is not purely historic fact.</w:t>
      </w:r>
    </w:p>
    <w:p>
      <w:pPr>
        <w:spacing w:after="0" w:line="1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forward-looking statements are also identified by words such as “hope,” “anticipate,” “may,” “likely,” “might,” “believe,” “expect,” “observe,” “consider,” “think,” “intend,” “envision,” “will,” “should,” “could,” “would,” “plan,” “target,” “estimate,” “predict,” “continue,” “commit,”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in Item 1A of Part I of our 2024 Form 10-K and “Risk Factors” in Item 1A of Part II of this Report and other unforeseen events or circumstances, could affect our future results and could cause those results or other outcomes to differ materially from those expressed or implied in our forward-looking statements:</w:t>
      </w:r>
    </w:p>
    <w:p>
      <w:pPr>
        <w:spacing w:after="0" w:line="200" w:lineRule="exact"/>
        <w:rPr>
          <w:sz w:val="20"/>
          <w:szCs w:val="20"/>
          <w:color w:val="auto"/>
        </w:rPr>
      </w:pPr>
    </w:p>
    <w:p>
      <w:pPr>
        <w:spacing w:after="0" w:line="202" w:lineRule="exact"/>
        <w:rPr>
          <w:sz w:val="20"/>
          <w:szCs w:val="20"/>
          <w:color w:val="auto"/>
        </w:rPr>
      </w:pPr>
    </w:p>
    <w:p>
      <w:pPr>
        <w:ind w:left="640" w:right="20" w:hanging="316"/>
        <w:spacing w:after="0" w:line="257"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specific timing, price, and size of repurchases under the Stock Repurchase Program, including that the Stock Repurchase Program may be suspended or discontinued at any time at the Company’s discretion;</w:t>
      </w: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new clients;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develop and introduce new or updated online marketplace services, information, and analytics;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against existing or future competitors in attracting advertisers and in general;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fluctuations and market cyclicality;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uncertainties and downturns or a downturn or consolidation in the real estate industry;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qualified persons for, or retain and continue to develop, our sales force, or unproductivity of our sales force;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and attract highly capable management and operating personnel;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downward pressure that our internal and external investments may place on our operating margins;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increase brand awareness;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new advertisers;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identify, finance, integrate, and/or manage costs related to acquisitions;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certain strategic transactions if a proposed transaction is subject to review or approval by regulatory authorities pursuant to applicable laws or regulations;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realize the benefits of the Matterport Acquisition;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cyberattacks and security vulnerabilities, and technical problems or disruptions;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associated with undertaking a large infrastructure project;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increased revenues from our current or future geographic expansion plans;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acceptance of credit cards and debit cards and facilitation of other customer payments;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climate-related events and other events beyond our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related to attention to climate-related risk and opportunities;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and maintain accurate, comprehensive, or reliable data;</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and maintain stable data feeds, or disruption of our data feeds;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enforce or defend our ownership and use of intellectual property;</w:t>
      </w: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6" w:name="page57"/>
    <w:bookmarkEnd w:id="56"/>
    <w:p>
      <w:pPr>
        <w:ind w:left="640" w:right="20" w:hanging="316"/>
        <w:spacing w:after="0" w:line="257"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use of new and evolving technologies, including AI, on our ability to protect our data and intellectual property from misappropriation by third parties;</w:t>
      </w: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defend against potential legal liability for collecting, displaying, or distributing information;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retain listings from real estate brokers, agents, property owners, and apartment property managers;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establish relationships with third-party listing providers;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rules and compliance requirements of MLSs;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international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exchange rate fluctuations;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lowering or withdrawal of the ratings assigned to our debt securities by rating agencies;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actual or perceived failure to comply with privacy or data protection laws, regulations, or standards;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tax laws, regulations, or fiscal and tax policies;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third-party claims, litigation, regulatory proceedings, or government investigations;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return on investment;</w:t>
      </w:r>
    </w:p>
    <w:p>
      <w:pPr>
        <w:spacing w:after="0" w:line="5" w:lineRule="exact"/>
        <w:rPr>
          <w:rFonts w:ascii="Times New Roman" w:cs="Times New Roman" w:eastAsia="Times New Roman" w:hAnsi="Times New Roman"/>
          <w:sz w:val="18"/>
          <w:szCs w:val="18"/>
          <w:color w:val="auto"/>
        </w:rPr>
      </w:pPr>
    </w:p>
    <w:p>
      <w:pPr>
        <w:ind w:left="640" w:hanging="316"/>
        <w:spacing w:after="0" w:line="231"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third-party suppliers upon which Matterport relies to fulfill its needs;</w:t>
      </w: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our equity investments;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ability to consummate the Domain Transaction and realize the benefits of the Domain Transaction;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open source software.</w:t>
      </w:r>
    </w:p>
    <w:p>
      <w:pPr>
        <w:spacing w:after="0" w:line="1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 except as required by applicable law. Additionally, certain information disclosed herein or elsewhere (such as our website) is informed by various stakeholder expectations and third-party frameworks. Such information is not necessarily material for purposes of our SEC reporting, even if we use “material” or similar language. Particularly with respect to climate-related risks and opportunities, materiality is subject to various definitions that differ from, and are often more expansive than, the definition under U.S. federal securities laws.</w:t>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7" w:name="page58"/>
    <w:bookmarkEnd w:id="5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information, analytics, and online marketplace services to real estate and related business communities within the regions where we operate, which primarily include, North America, Europe, Asia-Pacific and Latin America. The functional currency for a majority of our operations is the local currency, with the exception of certain international locations for which the functional currency is the British Pound or U.S. Dollar.</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Fluctuations in the British Pound, Canadian Dollar, Australian Dollar and Euro may have an impact on our business, results of operations and financial position. For the three and six months ended June 30, 2025, approximately 6% of our revenues were denominated in foreign currencies. For the three and six months ended June 30, 2025, our revenues would have decreased by approximately $5 million and $9 million respectively, if the U.S. dollar exchange rate used strengthened by 10%. For the three and six months ended June 30, 2025, our revenues would have increased by approximately $5 million and $9 million, respectively if the U.S. dollar exchange rate used weakened by 10%. In addition, we have assets and liabilities denominated in foreign currencies. As of June 30, 2025, accumulated other comprehensive loss included a gain from foreign currency translation adjustments of approximately $20 million.</w:t>
      </w:r>
    </w:p>
    <w:p>
      <w:pPr>
        <w:spacing w:after="0" w:line="14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During the three months ended March 31, 2025, we invested A$452 million ($285 million) to acquire approximately 17% of Domain’s ordinary shares, which is reported as an equity investment on our condensed consolidated balance sheets. Our investment in Domain is subject to market price volatility. A 10% increase or decrease in the price of Domain’s ordinary shares during the six months ended June 30, 2025 would have increased or decreased the value of our equity investment by $30 million. Our investment in Domain is also subject to foreign currency translation risk based on the US Dollar to Australian Dollar exchange rate, because the market price of Domain’s ordinary shares is denominated in Australian Dollars. For the six months ended June 30, 2025, the value of our investment would have increased by approximately $30 million, if the U.S. dollar exchange rate used weakened by 10% and the value of our equity investment would have decreased by approximately $28 million, if the U.S. dollar exchange rate used strengthened by 10%. The investment in Domain’s ordinary shares is included in the Equity investment caption on the condensed consolidated balance sheets and is measured at fair value with changes in fair value (due to share price and/or foreign exchange rates) recorded through other income (expense), net on the condensed consolidated statements of operations. See “Management’s Discussion and Analysis of Financial Condition and Results of Operations - Liquidity and Capital Resources” in Part 1, Item 2 and “Risk Factors” in Part II, Item 1A for additional discussion regarding the Domain Transaction.</w:t>
      </w:r>
    </w:p>
    <w:p>
      <w:pPr>
        <w:spacing w:after="0" w:line="16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May 9, 2025, the Company entered into deal-contingent foreign currency forward contracts to manage the risk of appreciation of the Australian dollar-denominated purchase price related to the Domain Transaction. The deal-contingent foreign currency forward contracts had an aggregate notional amount of A$2.4 billion ($1.5 billion). These instruments were entered into as economic hedges to mitigate foreign currency risks associated with the Domain Transaction.</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do not believe we have material exposure to market risks associated with changes in interest rates related to cash equivalent securities held as of June 30, 2025. As of June 30, 2025, we had $3.7 billion of cash, cash equivalents, and restricted cash.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spacing w:after="0" w:line="14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our revolving credit facility. On May 20, 2024, we entered into the 2024 Credit Agreement, which provides for variable rate borrowings of up to $1.1 billion. On July 1, 2020, we issued $1.0 billion 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June 30, 2025. See Note 10 of the Notes to Condensed Consolidated Financial Statements included in Part I of this Report for additional information regarding our 2024 Credit Agreement.</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had approximately $4.6 billion of goodwill and intangible assets as of June 30, 2025. As of June 30, 2025,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8" w:name="page59"/>
    <w:bookmarkEnd w:id="58"/>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as of June 30, 2025 and were operating at a reasonable assurance level.</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continue to implement a financial system that is designed to improve the efficiency and effectiveness of our operational and financial accounting processes. This implementation is expected to be a multi-year project. Consistent with any process change that we implement, the design of the internal controls has and will continue to be evaluated for effectiveness as part of our overall assessment of the effectiveness of our disclosure controls and procedures. We expect that the implementation of this system will further improve our internal control over financial reporting. In addition, we are in the process of integrating the internal controls over financial reporting of recent acquisitions, and these integrations may require certain processes, systems, and other components of internal controls over financial reporting to be evaluated and modified.</w:t>
      </w:r>
    </w:p>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the implementation of a new financial system and the integration activities associated with recent acquisitions, there have been no changes in our internal control over financial reporting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 See Note 12 of the Notes to Condensed Consolidated Financial Statements included in Part I of this Report for further discussion.</w:t>
      </w:r>
    </w:p>
    <w:p>
      <w:pPr>
        <w:spacing w:after="0" w:line="1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disclosed in Part I, Item 1A, “Risk Factors” in our 2024 Form 10-K, which could materially affect our business, financial condition or future results. Additional risks and uncertainties not currently known to us, or that we currently deem to be immaterial, may also have a material adverse effect on our business, financial condition, and/or results of operations. Other than the following items there have not been any material changes to the risk factors as previously disclosed in Part I, Item 1A, “Risk Factors” in our 2024 Form 10-K.</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If third-party suppliers upon which Matterport relies are not able to fulfill its needs, the ability to timely and cost effectively bring its hardware products to market could be affected. </w:t>
      </w:r>
      <w:r>
        <w:rPr>
          <w:rFonts w:ascii="Times New Roman" w:cs="Times New Roman" w:eastAsia="Times New Roman" w:hAnsi="Times New Roman"/>
          <w:sz w:val="18"/>
          <w:szCs w:val="18"/>
          <w:color w:val="auto"/>
        </w:rPr>
        <w:t>Matterport relies on a limited number of suppliers to supply its hardware components for its cameras and other hardware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some cases only a single supplier for some products and components. This reliance on a limited number of manufacturers increases its risks, since Matterport does not currently have proven reliable alternative or replacement manufacturers beyond these key parties. In the event of interruption, we may not be able to increase capacity from other sources or develop alternate or secondary sources, and if such sources become available, they may result in material additional costs and substantial delays.</w:t>
      </w:r>
    </w:p>
    <w:p>
      <w:pPr>
        <w:spacing w:after="0" w:line="16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Unexpected changes in business conditions, materials pricing, labor issues, wars, trade policies, natural disasters, health epidemics, trade and shipping disruptions, port congestions, and other factors beyond our or our suppliers’ control could also affect these suppliers’ ability to deliver components to us or to remain solvent and operational. Such disruptions could adversely affect our business if we are not able to meet customer demands. In addition, some of our suppliers are located in China. Our access to suppliers in China may be limited or impaired as a result of tariffs, including those that have been recently introduced by the current U.S. administration, or other government restrictions in response to geopolitical factors. There is no guarantee we may be able to continually use alternative suppliers and alternative parts as we scale production to meet our growth targets. Additionally, if our suppliers do not accurately forecast and effectively allocate production or if they are not willing to allocate sufficient production to us, it may reduce our access to components and require us to search for new suppliers. The unavailability of any component or supplier could result in production delays, idle manufacturing facilities, product design changes, and loss of access to important technology and tools for producing and supporting our products, as well as impact our capacity expansion and our ability to fulfill our obligations under customer contracts. Moreover, new product launches or product design changes by us have required, and may in the future require, us to procure additional components in a short amount of time. Our suppliers may not be willing or able to sustainably meet our timelines or our cost, quality, and volume needs, or to do so may cost us more, which may require us to replace them with other sources.</w:t>
      </w:r>
    </w:p>
    <w:p>
      <w:pPr>
        <w:spacing w:after="0" w:line="13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we face supply constraints for any of the reasons described above, it may not be possible to obtain or increase supplies on acceptable terms, which may undermine our ability to satisfy customer demands in a timely manner. For example, it may take a significant amount of time to identify a manufacturer that has the capability and resources to build and supply necessary hardware components in sufficient volume. Identifying suitable suppliers can be an extensive process that requires us to become satisfied with our suppliers’ quality control, technical capabilities, responsiveness and service, financial stability, regulatory compliance, and labor and other ethical practices. Accordingly, a loss of any significant suppliers or manufacturers would have an adverse effect on our business, financial condition, and operating results.</w:t>
      </w:r>
    </w:p>
    <w:p>
      <w:pPr>
        <w:spacing w:after="0" w:line="143" w:lineRule="exact"/>
        <w:rPr>
          <w:sz w:val="20"/>
          <w:szCs w:val="20"/>
          <w:color w:val="auto"/>
        </w:rPr>
      </w:pPr>
    </w:p>
    <w:p>
      <w:pPr>
        <w:jc w:val="both"/>
        <w:ind w:right="34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equity investments may cause material variability in our reported earnings and equity. </w:t>
      </w:r>
      <w:r>
        <w:rPr>
          <w:rFonts w:ascii="Times New Roman" w:cs="Times New Roman" w:eastAsia="Times New Roman" w:hAnsi="Times New Roman"/>
          <w:sz w:val="18"/>
          <w:szCs w:val="18"/>
          <w:color w:val="auto"/>
        </w:rPr>
        <w:t>We purchased a significant equity investment in Domain,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reported at fair value on our balance sheet with changes in fair value recorded in net income. As such, fluctuations in the value of this investment may have a material impact on our financial position and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60" w:name="page61"/>
    <w:bookmarkEnd w:id="60"/>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public company, Domain’s stock price will be determined by the market and investor reaction to its product developmental decisions and performance, and may also be impacted by its ability to enter into strategic alliances or commercial arrangements, its ability to generate revenues, the maintenance of its financial resources, regulatory compliance and developments that impact its services, and broader economic conditions. Domain’s stock price may also be impacted by our ability to close the Domain Transaction.</w:t>
      </w:r>
    </w:p>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Given the size of our investment in Domain, any material change in its value (positive or negative) will directly affect our financial statements, potentially causing material variability in our reported earnings and equity.</w:t>
      </w:r>
    </w:p>
    <w:p>
      <w:pPr>
        <w:spacing w:after="0" w:line="122"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We may be unable to complete the Domain Transaction or otherwise realize the benefits of the pending Domain Transaction, which could have an adverse effect on us.</w:t>
      </w:r>
    </w:p>
    <w:p>
      <w:pPr>
        <w:spacing w:after="0" w:line="20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May 9, 2025, we announced that we entered into the binding Domain SID to acquire 100% of the issued capital of Domain not previously acquired by CoStar Group by way of Scheme of Arrangement. We previously acquired 17% of Domain's ordinary shares in February 2025, and we expect to spend approximately A$2.4 billion ($1.5 billion) to acquire the remaining approximately 83% of Domain's ordinary shares upon consummation of the Domain Transaction.</w:t>
      </w:r>
    </w:p>
    <w:p>
      <w:pPr>
        <w:spacing w:after="0" w:line="20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Until the implementation of the scheme, we will operate independently of Domain. It is possible that the pendency of the Domain Transaction could result in the loss of key employees, higher than expected costs, diversion of management attention, or the disruption of our ongoing businesses, which may adversely affect the combined company’s ability to maintain relationships with customers, suppliers and employees or to achieve the anticipated benefits of the Domain Transaction.</w:t>
      </w:r>
    </w:p>
    <w:p>
      <w:pPr>
        <w:spacing w:after="0" w:line="205"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In addition, on May 9, 2025, we entered into deal-contingent foreign currency forward contracts, which is discussed in Note 2 to the consolidated financial statements, to manage the risk of appreciation of the Australian dollar denominated purchase price related to the Domain Transaction. We may not realize the anticipated benefits of mitigating the risk of appreciation of the Australian dollar denominated purchase price. The deal-contingent foreign currency forward contracts could result in a mark-to-market adjustment impacting the other income (expense), net of the condensed consolidated statement of operations which could adversely affect our results of operations.</w:t>
      </w:r>
    </w:p>
    <w:p>
      <w:pPr>
        <w:spacing w:after="0" w:line="202" w:lineRule="exact"/>
        <w:rPr>
          <w:sz w:val="20"/>
          <w:szCs w:val="20"/>
          <w:color w:val="auto"/>
        </w:rPr>
      </w:pPr>
    </w:p>
    <w:p>
      <w:pPr>
        <w:jc w:val="both"/>
        <w:ind w:firstLine="324"/>
        <w:spacing w:after="0" w:line="326" w:lineRule="auto"/>
        <w:tabs>
          <w:tab w:leader="none" w:pos="40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incurred, and we will continue to incur, transaction fees, including legal, regulatory, and other costs associated with closing the Domain Transaction, as well as expenses related to formulating and implementing integration plans, including systems consolidation costs and employment-related costs. We may be unable to offset transaction and integration-related costs with the realization of other efficiencies related to the integration of the business.</w:t>
      </w:r>
    </w:p>
    <w:p>
      <w:pPr>
        <w:spacing w:after="0" w:line="14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success of the Domain Transaction, if completed, will depend in part on our ability to realize the anticipated business opportunities and growth prospects from combining our business with that of Domain. We may never realize these business opportunities and growth prospects. Integrating operations will require significant efforts and expenditures. If we are unable to successfully or timely acquire and integrate Domain’s business with ours, we may be unable to realize the growth, synergies, and other anticipated benefits resulting from the Domain Transaction and our business could be adversely affected.</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data, intellectual property, and listings</w:t>
      </w:r>
    </w:p>
    <w:p>
      <w:pPr>
        <w:spacing w:after="0" w:line="17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i w:val="1"/>
          <w:iCs w:val="1"/>
          <w:color w:val="auto"/>
        </w:rPr>
        <w:t>Some of our products or services contain third-party open source software components, and failure to comply with the terms of the underlying open source software licenses could restrict our ability to deliver our products or services or subject us to litigation or other action</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of our products or</w:t>
      </w:r>
    </w:p>
    <w:p>
      <w:pPr>
        <w:jc w:val="both"/>
        <w:spacing w:after="0" w:line="247" w:lineRule="auto"/>
        <w:rPr>
          <w:sz w:val="20"/>
          <w:szCs w:val="20"/>
          <w:color w:val="auto"/>
        </w:rPr>
      </w:pPr>
      <w:r>
        <w:rPr>
          <w:rFonts w:ascii="Times New Roman" w:cs="Times New Roman" w:eastAsia="Times New Roman" w:hAnsi="Times New Roman"/>
          <w:sz w:val="18"/>
          <w:szCs w:val="18"/>
          <w:color w:val="auto"/>
        </w:rPr>
        <w:t>services contain software modules licensed to us by third-party authors under “open source” licenses, and we expect to continue to incorporate such open source software in our products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these products.</w:t>
      </w:r>
    </w:p>
    <w:p>
      <w:pPr>
        <w:spacing w:after="0" w:line="14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For example, our Matterport platform incorporates software that is licensed under open source licenses, which could require release of proprietary code if such platform was released or</w:t>
      </w: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1" w:name="page62"/>
    <w:bookmarkEnd w:id="61"/>
    <w:p>
      <w:pPr>
        <w:jc w:val="both"/>
        <w:spacing w:after="0" w:line="259" w:lineRule="auto"/>
        <w:rPr>
          <w:sz w:val="20"/>
          <w:szCs w:val="20"/>
          <w:color w:val="auto"/>
        </w:rPr>
      </w:pPr>
      <w:r>
        <w:rPr>
          <w:rFonts w:ascii="Times New Roman" w:cs="Times New Roman" w:eastAsia="Times New Roman" w:hAnsi="Times New Roman"/>
          <w:sz w:val="18"/>
          <w:szCs w:val="18"/>
          <w:color w:val="auto"/>
        </w:rPr>
        <w:t>distributed in any manner that would trigger such a requirement to third parties. Additionally, some open source projects have vulnerabilities and architectural instabilities and are provided without warranties or support services to actively provide us with patched versions when available, and which, if not properly addressed, could negatively affect the performance of the platform.</w:t>
      </w:r>
    </w:p>
    <w:p>
      <w:pPr>
        <w:spacing w:after="0" w:line="15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or foreign courts, and there is a risk that these licenses could be construed in a way that could impose unanticipated conditions or restrictions on our ability to provide or distribute our products or services. From time to time, there have been claims challenging the ownership of open source software against companies that incorporate open source software into their products or services, and the licensors of such open source software provide no warranties or indemnities with respect to such claims. As a result, we could be subject to lawsuits by parties claiming ownership of what we believe to be open source software. Moreover, we cannot assure you that our processes for monitoring and managing our use of open source software in our products and services will be effective. 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sale of subscriptions to certain products or services, or other liability, or could be required to seek costly licenses from third parties to continue providing our products or services on terms that, if available at all, are not economically feasible, to re-engineer our products or services, to discontinue or delay the provision of our products or services if re-engineering could not be accomplished on a timely basis, or to make generally available, in source code form, our proprietary code, any of which would adversely affect our business, financial condition, and results of operations.</w:t>
      </w:r>
    </w:p>
    <w:p>
      <w:pPr>
        <w:spacing w:after="0" w:line="200" w:lineRule="exact"/>
        <w:rPr>
          <w:sz w:val="20"/>
          <w:szCs w:val="20"/>
          <w:color w:val="auto"/>
        </w:rPr>
      </w:pPr>
    </w:p>
    <w:p>
      <w:pPr>
        <w:spacing w:after="0" w:line="35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is a summary of our repurchases of common stock during each of the three months ended June 30, 2025:</w:t>
      </w:r>
    </w:p>
    <w:p>
      <w:pPr>
        <w:spacing w:after="0" w:line="1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2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Dollar Value</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12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 Shares that May Yet Be</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Announced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center"/>
              <w:ind w:right="92"/>
              <w:spacing w:after="0" w:line="212" w:lineRule="exact"/>
              <w:rPr>
                <w:sz w:val="20"/>
                <w:szCs w:val="20"/>
                <w:color w:val="auto"/>
              </w:rPr>
            </w:pPr>
            <w:r>
              <w:rPr>
                <w:rFonts w:ascii="Times New Roman" w:cs="Times New Roman" w:eastAsia="Times New Roman" w:hAnsi="Times New Roman"/>
                <w:sz w:val="18"/>
                <w:szCs w:val="18"/>
                <w:b w:val="1"/>
                <w:bCs w:val="1"/>
                <w:color w:val="auto"/>
                <w:w w:val="92"/>
              </w:rPr>
              <w:t>Program</w:t>
            </w:r>
            <w:r>
              <w:rPr>
                <w:rFonts w:ascii="Times New Roman" w:cs="Times New Roman" w:eastAsia="Times New Roman" w:hAnsi="Times New Roman"/>
                <w:sz w:val="22"/>
                <w:szCs w:val="22"/>
                <w:b w:val="1"/>
                <w:bCs w:val="1"/>
                <w:color w:val="auto"/>
                <w:w w:val="92"/>
                <w:vertAlign w:val="superscript"/>
              </w:rPr>
              <w:t>(2)</w:t>
            </w:r>
          </w:p>
        </w:tc>
        <w:tc>
          <w:tcPr>
            <w:tcW w:w="0" w:type="dxa"/>
            <w:vAlign w:val="bottom"/>
          </w:tcPr>
          <w:p>
            <w:pPr>
              <w:spacing w:after="0"/>
              <w:rPr>
                <w:sz w:val="1"/>
                <w:szCs w:val="1"/>
                <w:color w:val="auto"/>
              </w:rPr>
            </w:pPr>
          </w:p>
        </w:tc>
      </w:tr>
      <w:tr>
        <w:trPr>
          <w:trHeight w:val="25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Purchased</w:t>
            </w:r>
            <w:r>
              <w:rPr>
                <w:rFonts w:ascii="Times New Roman" w:cs="Times New Roman" w:eastAsia="Times New Roman" w:hAnsi="Times New Roman"/>
                <w:sz w:val="22"/>
                <w:szCs w:val="22"/>
                <w:b w:val="1"/>
                <w:bCs w:val="1"/>
                <w:color w:val="auto"/>
                <w:w w:val="93"/>
                <w:vertAlign w:val="superscript"/>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Programs</w:t>
            </w:r>
            <w:r>
              <w:rPr>
                <w:rFonts w:ascii="Times New Roman" w:cs="Times New Roman" w:eastAsia="Times New Roman" w:hAnsi="Times New Roman"/>
                <w:sz w:val="22"/>
                <w:szCs w:val="22"/>
                <w:b w:val="1"/>
                <w:bCs w:val="1"/>
                <w:color w:val="auto"/>
                <w:w w:val="94"/>
                <w:vertAlign w:val="superscript"/>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8"/>
              </w:rPr>
              <w:t>(in millions)</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30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through 31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30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599,503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2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20" w:type="dxa"/>
            <w:vAlign w:val="bottom"/>
            <w:vMerge w:val="restart"/>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firstLine="6"/>
        <w:spacing w:after="0" w:line="262" w:lineRule="auto"/>
        <w:tabs>
          <w:tab w:leader="none" w:pos="148"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number includes CoStar Group shares tendered by employees to the Company to satisfy the employees' minimum tax withholding obligations arising as a result of vesting of restricted stock grants under the Company’s 2016 Stock Incentive Plan, as amended, which shares were purchased by the Company based on their fair market value on the trading day immediately preceding the vesting date.</w:t>
      </w:r>
    </w:p>
    <w:p>
      <w:pPr>
        <w:spacing w:after="0" w:line="1" w:lineRule="exact"/>
        <w:rPr>
          <w:rFonts w:ascii="Times New Roman" w:cs="Times New Roman" w:eastAsia="Times New Roman" w:hAnsi="Times New Roman"/>
          <w:sz w:val="9"/>
          <w:szCs w:val="9"/>
          <w:color w:val="auto"/>
        </w:rPr>
      </w:pPr>
    </w:p>
    <w:p>
      <w:pPr>
        <w:jc w:val="both"/>
        <w:ind w:firstLine="6"/>
        <w:spacing w:after="0" w:line="261" w:lineRule="auto"/>
        <w:tabs>
          <w:tab w:leader="none" w:pos="130" w:val="left"/>
        </w:tabs>
        <w:numPr>
          <w:ilvl w:val="0"/>
          <w:numId w:val="4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 February 2025, the Board of Directors approved the Stock Repurchase Program that authorizes the repurchase up to $500 million of outstanding CoStar Group Shares, with no expiration date. During the second quarter of 2025, the Company repurc</w:t>
      </w:r>
      <w:r>
        <w:rPr>
          <w:rFonts w:ascii="Times New Roman" w:cs="Times New Roman" w:eastAsia="Times New Roman" w:hAnsi="Times New Roman"/>
          <w:sz w:val="13"/>
          <w:szCs w:val="13"/>
          <w:color w:val="auto"/>
        </w:rPr>
        <w:t>hased</w:t>
      </w:r>
      <w:r>
        <w:rPr>
          <w:rFonts w:ascii="Times New Roman" w:cs="Times New Roman" w:eastAsia="Times New Roman" w:hAnsi="Times New Roman"/>
          <w:sz w:val="12"/>
          <w:szCs w:val="12"/>
          <w:color w:val="auto"/>
        </w:rPr>
        <w:t xml:space="preserve"> 585,000 </w:t>
      </w:r>
      <w:r>
        <w:rPr>
          <w:rFonts w:ascii="Times New Roman" w:cs="Times New Roman" w:eastAsia="Times New Roman" w:hAnsi="Times New Roman"/>
          <w:sz w:val="13"/>
          <w:szCs w:val="13"/>
          <w:color w:val="auto"/>
        </w:rPr>
        <w:t>C</w:t>
      </w:r>
      <w:r>
        <w:rPr>
          <w:rFonts w:ascii="Times New Roman" w:cs="Times New Roman" w:eastAsia="Times New Roman" w:hAnsi="Times New Roman"/>
          <w:sz w:val="12"/>
          <w:szCs w:val="12"/>
          <w:color w:val="auto"/>
        </w:rPr>
        <w:t>oStar Group Shares for an aggregate cost of $45.3 million. See Note 14 for further discussion regarding the Stock Repurchase Program and stock repurchase activity.</w:t>
      </w:r>
    </w:p>
    <w:p>
      <w:pPr>
        <w:spacing w:after="0" w:line="3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the Company adopted or terminated a “Rule 10b5-1 trading arrangement” or “non-Rule 10b5-1 trading arrangement,” as each term is defined in Item 408 of Regulation S-K.</w:t>
      </w:r>
    </w:p>
    <w:p>
      <w:pPr>
        <w:sectPr>
          <w:pgSz w:w="11900" w:h="16838" w:orient="portrait"/>
          <w:cols w:equalWidth="0" w:num="1">
            <w:col w:w="11240"/>
          </w:cols>
          <w:pgMar w:left="320" w:top="1049" w:right="339" w:bottom="1440" w:gutter="0" w:footer="0" w:header="0"/>
        </w:sect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3"/>
        </w:trPr>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11"/>
        </w:trPr>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spacing w:after="0"/>
              <w:rPr>
                <w:sz w:val="18"/>
                <w:szCs w:val="18"/>
                <w:color w:val="auto"/>
              </w:rPr>
            </w:pPr>
          </w:p>
        </w:tc>
        <w:tc>
          <w:tcPr>
            <w:tcW w:w="9840" w:type="dxa"/>
            <w:vAlign w:val="bottom"/>
            <w:tcBorders>
              <w:bottom w:val="single" w:sz="8" w:color="auto"/>
            </w:tcBorders>
          </w:tcPr>
          <w:p>
            <w:pPr>
              <w:spacing w:after="0"/>
              <w:rPr>
                <w:sz w:val="18"/>
                <w:szCs w:val="18"/>
                <w:color w:val="auto"/>
              </w:rPr>
            </w:pPr>
          </w:p>
        </w:tc>
      </w:tr>
      <w:tr>
        <w:trPr>
          <w:trHeight w:val="233"/>
        </w:trPr>
        <w:tc>
          <w:tcPr>
            <w:tcW w:w="130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color w:val="auto"/>
                <w:w w:val="97"/>
              </w:rPr>
              <w:t>Exhibit No.</w:t>
            </w: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5"/>
        </w:trPr>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444"/>
        </w:trPr>
        <w:tc>
          <w:tcPr>
            <w:tcW w:w="760" w:type="dxa"/>
            <w:vAlign w:val="bottom"/>
            <w:gridSpan w:val="4"/>
          </w:tcPr>
          <w:p>
            <w:pPr>
              <w:jc w:val="center"/>
              <w:ind w:left="372"/>
              <w:spacing w:after="0"/>
              <w:rPr>
                <w:rFonts w:ascii="Times New Roman" w:cs="Times New Roman" w:eastAsia="Times New Roman" w:hAnsi="Times New Roman"/>
                <w:sz w:val="18"/>
                <w:szCs w:val="18"/>
                <w:color w:val="0000FF"/>
                <w:w w:val="97"/>
              </w:rPr>
            </w:pPr>
            <w:hyperlink r:id="rId8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Fourth Amended and Restated Certificate of Incorporation (Incorporated by reference to Exhibit 3.1 to the Registrant's Current Report on</w:t>
            </w:r>
          </w:p>
        </w:tc>
      </w:tr>
      <w:tr>
        <w:trPr>
          <w:trHeight w:val="233"/>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filed with the SEC on June 7, 2021).</w:t>
            </w:r>
          </w:p>
        </w:tc>
      </w:tr>
      <w:tr>
        <w:trPr>
          <w:trHeight w:val="224"/>
        </w:trPr>
        <w:tc>
          <w:tcPr>
            <w:tcW w:w="760" w:type="dxa"/>
            <w:vAlign w:val="bottom"/>
            <w:gridSpan w:val="4"/>
          </w:tcPr>
          <w:p>
            <w:pPr>
              <w:jc w:val="center"/>
              <w:ind w:left="372"/>
              <w:spacing w:after="0"/>
              <w:rPr>
                <w:rFonts w:ascii="Times New Roman" w:cs="Times New Roman" w:eastAsia="Times New Roman" w:hAnsi="Times New Roman"/>
                <w:sz w:val="18"/>
                <w:szCs w:val="18"/>
                <w:color w:val="0000FF"/>
                <w:w w:val="97"/>
              </w:rPr>
            </w:pPr>
            <w:hyperlink r:id="rId8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Amended and Restated By-Laws (Incorporated by reference to Exhibit 3.1 to the Registrant's Current Report on Form 8-K filed</w:t>
            </w:r>
          </w:p>
        </w:tc>
      </w:tr>
      <w:tr>
        <w:trPr>
          <w:trHeight w:val="233"/>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the SEC on May 9, 2022).</w:t>
            </w:r>
          </w:p>
        </w:tc>
      </w:tr>
      <w:tr>
        <w:trPr>
          <w:trHeight w:val="224"/>
        </w:trPr>
        <w:tc>
          <w:tcPr>
            <w:tcW w:w="940" w:type="dxa"/>
            <w:vAlign w:val="bottom"/>
            <w:gridSpan w:val="6"/>
          </w:tcPr>
          <w:p>
            <w:pPr>
              <w:jc w:val="center"/>
              <w:ind w:left="172"/>
              <w:spacing w:after="0"/>
              <w:rPr>
                <w:rFonts w:ascii="Times New Roman" w:cs="Times New Roman" w:eastAsia="Times New Roman" w:hAnsi="Times New Roman"/>
                <w:sz w:val="18"/>
                <w:szCs w:val="18"/>
                <w:color w:val="auto"/>
                <w:w w:val="98"/>
              </w:rPr>
            </w:pPr>
            <w:r>
              <w:rPr>
                <w:rFonts w:ascii="Times New Roman" w:cs="Times New Roman" w:eastAsia="Times New Roman" w:hAnsi="Times New Roman"/>
                <w:sz w:val="18"/>
                <w:szCs w:val="18"/>
                <w:color w:val="auto"/>
                <w:w w:val="98"/>
              </w:rPr>
              <w:t>*</w:t>
            </w:r>
            <w:hyperlink r:id="rId84">
              <w:r>
                <w:rPr>
                  <w:rFonts w:ascii="Times New Roman" w:cs="Times New Roman" w:eastAsia="Times New Roman" w:hAnsi="Times New Roman"/>
                  <w:sz w:val="18"/>
                  <w:szCs w:val="18"/>
                  <w:color w:val="0000FF"/>
                  <w:w w:val="98"/>
                </w:rPr>
                <w:t>10.1</w:t>
              </w:r>
            </w:hyperlink>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Group, Inc. 2025 Stock Incentive Plan (Incorporated by reference to Appendix B to Registrant’s Definitive Proxy Statement on</w:t>
            </w:r>
          </w:p>
        </w:tc>
      </w:tr>
      <w:tr>
        <w:trPr>
          <w:trHeight w:val="233"/>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14A filed with the SEC on April 30, 2025, File No. 000-24531).</w:t>
            </w:r>
          </w:p>
        </w:tc>
      </w:tr>
      <w:tr>
        <w:trPr>
          <w:trHeight w:val="224"/>
        </w:trPr>
        <w:tc>
          <w:tcPr>
            <w:tcW w:w="760" w:type="dxa"/>
            <w:vAlign w:val="bottom"/>
            <w:gridSpan w:val="4"/>
          </w:tcPr>
          <w:p>
            <w:pPr>
              <w:jc w:val="center"/>
              <w:ind w:left="352"/>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 Agreement, dated as of April 6, 2025, among CoStar Group Inc., D. E. Shaw &amp; Co., L.P. and D. E. Shaw Oculus Portfolios,</w:t>
            </w:r>
          </w:p>
        </w:tc>
      </w:tr>
      <w:tr>
        <w:trPr>
          <w:trHeight w:val="233"/>
        </w:trPr>
        <w:tc>
          <w:tcPr>
            <w:tcW w:w="4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(Incorporated by reference to Exhibit 10.1 to the Registrant's Current Report on Form 8-K filed with the SEC on April 7, 2025).</w:t>
            </w:r>
          </w:p>
        </w:tc>
      </w:tr>
      <w:tr>
        <w:trPr>
          <w:trHeight w:val="224"/>
        </w:trPr>
        <w:tc>
          <w:tcPr>
            <w:tcW w:w="760" w:type="dxa"/>
            <w:vAlign w:val="bottom"/>
            <w:gridSpan w:val="4"/>
          </w:tcPr>
          <w:p>
            <w:pPr>
              <w:jc w:val="center"/>
              <w:ind w:left="352"/>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 Agreement, dated as of April 6, 2025, between CoStar Group Inc. and Third Point parties thereto (Incorporated by reference to</w:t>
            </w:r>
          </w:p>
        </w:tc>
      </w:tr>
      <w:tr>
        <w:trPr>
          <w:trHeight w:val="233"/>
        </w:trPr>
        <w:tc>
          <w:tcPr>
            <w:tcW w:w="4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Registrant's Current Report on Form 8-K filed with the SEC on April 7, 2025).</w:t>
            </w:r>
          </w:p>
        </w:tc>
      </w:tr>
      <w:tr>
        <w:trPr>
          <w:trHeight w:val="224"/>
        </w:trPr>
        <w:tc>
          <w:tcPr>
            <w:tcW w:w="760" w:type="dxa"/>
            <w:vAlign w:val="bottom"/>
            <w:gridSpan w:val="4"/>
          </w:tcPr>
          <w:p>
            <w:pPr>
              <w:jc w:val="center"/>
              <w:ind w:left="352"/>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Scheme Implementation Deed, dated May 9, 2025 by and between CoStar Group Inc., Domain Holdings Australia Limited and</w:t>
            </w:r>
          </w:p>
        </w:tc>
      </w:tr>
      <w:tr>
        <w:trPr>
          <w:trHeight w:val="213"/>
        </w:trPr>
        <w:tc>
          <w:tcPr>
            <w:tcW w:w="4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Andromeda Australia SubCo Pty Ltd. (Incorporated by reference to Exhibit 10.1 to the Registrant's Current Report on Form 8-K filed with</w:t>
            </w:r>
          </w:p>
        </w:tc>
      </w:tr>
      <w:tr>
        <w:trPr>
          <w:trHeight w:val="231"/>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SEC on May 9, 2025).</w:t>
            </w:r>
          </w:p>
        </w:tc>
      </w:tr>
      <w:tr>
        <w:trPr>
          <w:trHeight w:val="224"/>
        </w:trPr>
        <w:tc>
          <w:tcPr>
            <w:tcW w:w="440" w:type="dxa"/>
            <w:vAlign w:val="bottom"/>
          </w:tcPr>
          <w:p>
            <w:pPr>
              <w:spacing w:after="0"/>
              <w:rPr>
                <w:sz w:val="19"/>
                <w:szCs w:val="19"/>
                <w:color w:val="auto"/>
              </w:rPr>
            </w:pPr>
          </w:p>
        </w:tc>
        <w:tc>
          <w:tcPr>
            <w:tcW w:w="3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 (filed herewith).</w:t>
            </w:r>
          </w:p>
        </w:tc>
      </w:tr>
      <w:tr>
        <w:trPr>
          <w:trHeight w:val="245"/>
        </w:trPr>
        <w:tc>
          <w:tcPr>
            <w:tcW w:w="440" w:type="dxa"/>
            <w:vAlign w:val="bottom"/>
          </w:tcPr>
          <w:p>
            <w:pPr>
              <w:spacing w:after="0"/>
              <w:rPr>
                <w:sz w:val="21"/>
                <w:szCs w:val="21"/>
                <w:color w:val="auto"/>
              </w:rPr>
            </w:pPr>
          </w:p>
        </w:tc>
        <w:tc>
          <w:tcPr>
            <w:tcW w:w="3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 (filed herewith).</w:t>
            </w:r>
          </w:p>
        </w:tc>
      </w:tr>
      <w:tr>
        <w:trPr>
          <w:trHeight w:val="245"/>
        </w:trPr>
        <w:tc>
          <w:tcPr>
            <w:tcW w:w="760" w:type="dxa"/>
            <w:vAlign w:val="bottom"/>
            <w:gridSpan w:val="4"/>
          </w:tcPr>
          <w:p>
            <w:pPr>
              <w:jc w:val="center"/>
              <w:ind w:left="352"/>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 1350, as adopted pursuant to Section 906 of the Sarbanes-Oxley</w:t>
            </w:r>
          </w:p>
        </w:tc>
      </w:tr>
      <w:tr>
        <w:trPr>
          <w:trHeight w:val="233"/>
        </w:trPr>
        <w:tc>
          <w:tcPr>
            <w:tcW w:w="4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24"/>
        </w:trPr>
        <w:tc>
          <w:tcPr>
            <w:tcW w:w="760" w:type="dxa"/>
            <w:vAlign w:val="bottom"/>
            <w:gridSpan w:val="4"/>
          </w:tcPr>
          <w:p>
            <w:pPr>
              <w:jc w:val="center"/>
              <w:ind w:left="352"/>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 1350, as adopted pursuant to Section 906 of the Sarbanes-Oxley</w:t>
            </w:r>
          </w:p>
        </w:tc>
      </w:tr>
      <w:tr>
        <w:trPr>
          <w:trHeight w:val="233"/>
        </w:trPr>
        <w:tc>
          <w:tcPr>
            <w:tcW w:w="4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46"/>
        </w:trPr>
        <w:tc>
          <w:tcPr>
            <w:tcW w:w="940" w:type="dxa"/>
            <w:vAlign w:val="bottom"/>
            <w:gridSpan w:val="6"/>
          </w:tcPr>
          <w:p>
            <w:pPr>
              <w:jc w:val="center"/>
              <w:ind w:left="172"/>
              <w:spacing w:after="0"/>
              <w:rPr>
                <w:sz w:val="20"/>
                <w:szCs w:val="20"/>
                <w:color w:val="auto"/>
              </w:rPr>
            </w:pPr>
            <w:r>
              <w:rPr>
                <w:rFonts w:ascii="Times New Roman" w:cs="Times New Roman" w:eastAsia="Times New Roman" w:hAnsi="Times New Roman"/>
                <w:sz w:val="18"/>
                <w:szCs w:val="18"/>
                <w:color w:val="auto"/>
                <w:w w:val="99"/>
              </w:rPr>
              <w:t>101.INS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quarterly period ended June 30, 2025,</w:t>
            </w:r>
          </w:p>
        </w:tc>
      </w:tr>
      <w:tr>
        <w:trPr>
          <w:trHeight w:val="212"/>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formatted in Inline XBRL: (i) Condensed Consolidated Statements of Operations; (ii) Condensed Consolidated Statements of</w:t>
            </w:r>
          </w:p>
        </w:tc>
      </w:tr>
      <w:tr>
        <w:trPr>
          <w:trHeight w:val="212"/>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(iii) Condensed Consolidated Balance Sheets; (iv) Condensed Consolidated Statements of Changes in</w:t>
            </w:r>
          </w:p>
        </w:tc>
      </w:tr>
      <w:tr>
        <w:trPr>
          <w:trHeight w:val="212"/>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(v) Condensed Consolidated Statements of Cash Flows; and (vi) Notes to Condensed Consolidated Financial</w:t>
            </w:r>
          </w:p>
        </w:tc>
      </w:tr>
      <w:tr>
        <w:trPr>
          <w:trHeight w:val="231"/>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tagged as blocks of text and including detailed tags.</w:t>
            </w:r>
          </w:p>
        </w:tc>
      </w:tr>
      <w:tr>
        <w:trPr>
          <w:trHeight w:val="265"/>
        </w:trPr>
        <w:tc>
          <w:tcPr>
            <w:tcW w:w="940" w:type="dxa"/>
            <w:vAlign w:val="bottom"/>
            <w:gridSpan w:val="6"/>
          </w:tcPr>
          <w:p>
            <w:pPr>
              <w:jc w:val="center"/>
              <w:ind w:left="172"/>
              <w:spacing w:after="0"/>
              <w:rPr>
                <w:sz w:val="20"/>
                <w:szCs w:val="20"/>
                <w:color w:val="auto"/>
              </w:rPr>
            </w:pPr>
            <w:r>
              <w:rPr>
                <w:rFonts w:ascii="Times New Roman" w:cs="Times New Roman" w:eastAsia="Times New Roman" w:hAnsi="Times New Roman"/>
                <w:sz w:val="18"/>
                <w:szCs w:val="18"/>
                <w:color w:val="auto"/>
                <w:w w:val="96"/>
              </w:rPr>
              <w:t>101.SCH</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5"/>
        </w:trPr>
        <w:tc>
          <w:tcPr>
            <w:tcW w:w="940" w:type="dxa"/>
            <w:vAlign w:val="bottom"/>
            <w:gridSpan w:val="6"/>
          </w:tcPr>
          <w:p>
            <w:pPr>
              <w:jc w:val="center"/>
              <w:ind w:left="192"/>
              <w:spacing w:after="0"/>
              <w:rPr>
                <w:sz w:val="20"/>
                <w:szCs w:val="20"/>
                <w:color w:val="auto"/>
              </w:rPr>
            </w:pPr>
            <w:r>
              <w:rPr>
                <w:rFonts w:ascii="Times New Roman" w:cs="Times New Roman" w:eastAsia="Times New Roman" w:hAnsi="Times New Roman"/>
                <w:sz w:val="18"/>
                <w:szCs w:val="18"/>
                <w:color w:val="auto"/>
                <w:w w:val="97"/>
              </w:rPr>
              <w:t>101.CAL</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65"/>
        </w:trPr>
        <w:tc>
          <w:tcPr>
            <w:tcW w:w="940" w:type="dxa"/>
            <w:vAlign w:val="bottom"/>
            <w:gridSpan w:val="6"/>
          </w:tcPr>
          <w:p>
            <w:pPr>
              <w:jc w:val="center"/>
              <w:ind w:left="172"/>
              <w:spacing w:after="0"/>
              <w:rPr>
                <w:sz w:val="20"/>
                <w:szCs w:val="20"/>
                <w:color w:val="auto"/>
              </w:rPr>
            </w:pPr>
            <w:r>
              <w:rPr>
                <w:rFonts w:ascii="Times New Roman" w:cs="Times New Roman" w:eastAsia="Times New Roman" w:hAnsi="Times New Roman"/>
                <w:sz w:val="18"/>
                <w:szCs w:val="18"/>
                <w:color w:val="auto"/>
                <w:w w:val="97"/>
              </w:rPr>
              <w:t>101.DEF</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65"/>
        </w:trPr>
        <w:tc>
          <w:tcPr>
            <w:tcW w:w="940" w:type="dxa"/>
            <w:vAlign w:val="bottom"/>
            <w:gridSpan w:val="6"/>
          </w:tcPr>
          <w:p>
            <w:pPr>
              <w:jc w:val="center"/>
              <w:ind w:left="192"/>
              <w:spacing w:after="0"/>
              <w:rPr>
                <w:sz w:val="20"/>
                <w:szCs w:val="20"/>
                <w:color w:val="auto"/>
              </w:rPr>
            </w:pPr>
            <w:r>
              <w:rPr>
                <w:rFonts w:ascii="Times New Roman" w:cs="Times New Roman" w:eastAsia="Times New Roman" w:hAnsi="Times New Roman"/>
                <w:sz w:val="18"/>
                <w:szCs w:val="18"/>
                <w:color w:val="auto"/>
                <w:w w:val="97"/>
              </w:rPr>
              <w:t>101.LAB</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65"/>
        </w:trPr>
        <w:tc>
          <w:tcPr>
            <w:tcW w:w="940" w:type="dxa"/>
            <w:vAlign w:val="bottom"/>
            <w:gridSpan w:val="6"/>
          </w:tcPr>
          <w:p>
            <w:pPr>
              <w:jc w:val="center"/>
              <w:ind w:left="172"/>
              <w:spacing w:after="0"/>
              <w:rPr>
                <w:sz w:val="20"/>
                <w:szCs w:val="20"/>
                <w:color w:val="auto"/>
              </w:rPr>
            </w:pPr>
            <w:r>
              <w:rPr>
                <w:rFonts w:ascii="Times New Roman" w:cs="Times New Roman" w:eastAsia="Times New Roman" w:hAnsi="Times New Roman"/>
                <w:sz w:val="18"/>
                <w:szCs w:val="18"/>
                <w:color w:val="auto"/>
                <w:w w:val="99"/>
              </w:rPr>
              <w:t>101.PRE</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65"/>
        </w:trPr>
        <w:tc>
          <w:tcPr>
            <w:tcW w:w="760" w:type="dxa"/>
            <w:vAlign w:val="bottom"/>
            <w:gridSpan w:val="4"/>
          </w:tcPr>
          <w:p>
            <w:pPr>
              <w:jc w:val="center"/>
              <w:ind w:left="352"/>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cover page from the Registrant's Quarterly Report on Form 10-Q for the quarterly period ended June 30, 2025, formatted in Inline</w:t>
            </w:r>
          </w:p>
        </w:tc>
      </w:tr>
    </w:tbl>
    <w:p>
      <w:pPr>
        <w:ind w:left="1320"/>
        <w:spacing w:after="0" w:line="192" w:lineRule="auto"/>
        <w:rPr>
          <w:sz w:val="20"/>
          <w:szCs w:val="20"/>
          <w:color w:val="auto"/>
        </w:rPr>
      </w:pPr>
      <w:r>
        <w:rPr>
          <w:rFonts w:ascii="Times New Roman" w:cs="Times New Roman" w:eastAsia="Times New Roman" w:hAnsi="Times New Roman"/>
          <w:sz w:val="13"/>
          <w:szCs w:val="13"/>
          <w:color w:val="auto"/>
        </w:rPr>
        <w:t>XBRL (included as Exhibit 101).</w:t>
      </w:r>
    </w:p>
    <w:p>
      <w:pPr>
        <w:jc w:val="right"/>
        <w:spacing w:after="0" w:line="230"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63" w:name="page64"/>
    <w:bookmarkEnd w:id="6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ind w:firstLine="392"/>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46" w:lineRule="exact"/>
        <w:rPr>
          <w:sz w:val="20"/>
          <w:szCs w:val="20"/>
          <w:color w:val="auto"/>
        </w:rPr>
      </w:pPr>
    </w:p>
    <w:p>
      <w:pPr>
        <w:ind w:left="900"/>
        <w:spacing w:after="0"/>
        <w:tabs>
          <w:tab w:leader="none" w:pos="6080" w:val="left"/>
          <w:tab w:leader="none" w:pos="6660" w:val="left"/>
        </w:tabs>
        <w:rPr>
          <w:sz w:val="20"/>
          <w:szCs w:val="20"/>
          <w:color w:val="auto"/>
        </w:rPr>
      </w:pPr>
      <w:r>
        <w:rPr>
          <w:rFonts w:ascii="Times New Roman" w:cs="Times New Roman" w:eastAsia="Times New Roman" w:hAnsi="Times New Roman"/>
          <w:sz w:val="18"/>
          <w:szCs w:val="18"/>
          <w:color w:val="auto"/>
        </w:rPr>
        <w:t>Date: July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Christian M. Lown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-9525</wp:posOffset>
            </wp:positionV>
            <wp:extent cx="11309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3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Christian M. Lown</w:t>
      </w:r>
    </w:p>
    <w:p>
      <w:pPr>
        <w:spacing w:after="0" w:line="2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04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 Florance, certify that:</w:t>
      </w:r>
    </w:p>
    <w:p>
      <w:pPr>
        <w:spacing w:after="0" w:line="111" w:lineRule="exact"/>
        <w:rPr>
          <w:sz w:val="20"/>
          <w:szCs w:val="20"/>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CoStar Group, Inc.;</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40" w:hanging="320"/>
        <w:spacing w:after="0" w:line="259"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68"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100"/>
        <w:spacing w:after="0"/>
        <w:tabs>
          <w:tab w:leader="none" w:pos="4540" w:val="left"/>
        </w:tabs>
        <w:rPr>
          <w:sz w:val="20"/>
          <w:szCs w:val="20"/>
          <w:color w:val="auto"/>
        </w:rPr>
      </w:pPr>
      <w:r>
        <w:rPr>
          <w:rFonts w:ascii="Times New Roman" w:cs="Times New Roman" w:eastAsia="Times New Roman" w:hAnsi="Times New Roman"/>
          <w:sz w:val="18"/>
          <w:szCs w:val="18"/>
          <w:color w:val="auto"/>
        </w:rPr>
        <w:t>Date: July 23, 2025</w:t>
      </w:r>
      <w:r>
        <w:rPr>
          <w:sz w:val="20"/>
          <w:szCs w:val="20"/>
          <w:color w:val="auto"/>
        </w:rPr>
        <w:tab/>
      </w:r>
      <w:r>
        <w:rPr>
          <w:rFonts w:ascii="Times New Roman" w:cs="Times New Roman" w:eastAsia="Times New Roman" w:hAnsi="Times New Roman"/>
          <w:sz w:val="17"/>
          <w:szCs w:val="17"/>
          <w:color w:val="auto"/>
        </w:rPr>
        <w:t>By: /s/ Andrew C. Florance</w:t>
      </w:r>
    </w:p>
    <w:p>
      <w:pPr>
        <w:spacing w:after="0" w:line="200" w:lineRule="exact"/>
        <w:rPr>
          <w:sz w:val="20"/>
          <w:szCs w:val="20"/>
          <w:color w:val="auto"/>
        </w:rPr>
      </w:pPr>
    </w:p>
    <w:p>
      <w:pPr>
        <w:spacing w:after="0" w:line="29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Andrew C. Florance</w:t>
      </w:r>
    </w:p>
    <w:p>
      <w:pPr>
        <w:spacing w:after="0" w:line="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p>
      <w:pPr>
        <w:sectPr>
          <w:pgSz w:w="11900" w:h="16838" w:orient="portrait"/>
          <w:cols w:equalWidth="0" w:num="1">
            <w:col w:w="11240"/>
          </w:cols>
          <w:pgMar w:left="320" w:top="87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M. Lown, certify that:</w:t>
      </w:r>
    </w:p>
    <w:p>
      <w:pPr>
        <w:spacing w:after="0" w:line="111" w:lineRule="exact"/>
        <w:rPr>
          <w:sz w:val="20"/>
          <w:szCs w:val="20"/>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CoStar Group, Inc.;</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40" w:hanging="320"/>
        <w:spacing w:after="0" w:line="259" w:lineRule="auto"/>
        <w:tabs>
          <w:tab w:leader="none" w:pos="1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68" w:lineRule="auto"/>
        <w:tabs>
          <w:tab w:leader="none" w:pos="1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100"/>
        <w:spacing w:after="0"/>
        <w:tabs>
          <w:tab w:leader="none" w:pos="4540" w:val="left"/>
        </w:tabs>
        <w:rPr>
          <w:sz w:val="20"/>
          <w:szCs w:val="20"/>
          <w:color w:val="auto"/>
        </w:rPr>
      </w:pPr>
      <w:r>
        <w:rPr>
          <w:rFonts w:ascii="Times New Roman" w:cs="Times New Roman" w:eastAsia="Times New Roman" w:hAnsi="Times New Roman"/>
          <w:sz w:val="18"/>
          <w:szCs w:val="18"/>
          <w:color w:val="auto"/>
        </w:rPr>
        <w:t>Date: July 23, 2025</w:t>
      </w:r>
      <w:r>
        <w:rPr>
          <w:sz w:val="20"/>
          <w:szCs w:val="20"/>
          <w:color w:val="auto"/>
        </w:rPr>
        <w:tab/>
      </w:r>
      <w:r>
        <w:rPr>
          <w:rFonts w:ascii="Times New Roman" w:cs="Times New Roman" w:eastAsia="Times New Roman" w:hAnsi="Times New Roman"/>
          <w:sz w:val="18"/>
          <w:szCs w:val="18"/>
          <w:color w:val="auto"/>
        </w:rPr>
        <w:t>By: /s/ Christian M. Lown</w:t>
      </w:r>
    </w:p>
    <w:p>
      <w:pPr>
        <w:spacing w:after="0" w:line="200" w:lineRule="exact"/>
        <w:rPr>
          <w:sz w:val="20"/>
          <w:szCs w:val="20"/>
          <w:color w:val="auto"/>
        </w:rPr>
      </w:pPr>
    </w:p>
    <w:p>
      <w:pPr>
        <w:spacing w:after="0" w:line="29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Christian M. Lown</w:t>
      </w:r>
    </w:p>
    <w:p>
      <w:pPr>
        <w:spacing w:after="0" w:line="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ectPr>
          <w:pgSz w:w="11900" w:h="16838" w:orient="portrait"/>
          <w:cols w:equalWidth="0" w:num="1">
            <w:col w:w="11240"/>
          </w:cols>
          <w:pgMar w:left="320" w:top="87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1331 L Street, NW</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23,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Certification Of Principal Executive Officer Pursuant To 18 U.S.C. Sec. 1350</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44"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CoStar Group, Inc., for the quarter ended June 30, 2025, I, Andrew C. Florance, Chief Executive Officer of CoStar Group, Inc., hereby certify pursuant to 18 U.S.C. Section 1350, as adopted pursuant to Section 906 of the Sarbanes-Oxley Act of 2002, that:</w:t>
      </w:r>
    </w:p>
    <w:p>
      <w:pPr>
        <w:spacing w:after="0" w:line="204" w:lineRule="exact"/>
        <w:rPr>
          <w:sz w:val="20"/>
          <w:szCs w:val="20"/>
          <w:color w:val="auto"/>
        </w:rPr>
      </w:pPr>
    </w:p>
    <w:p>
      <w:pPr>
        <w:ind w:right="160" w:firstLine="642"/>
        <w:spacing w:after="0" w:line="274" w:lineRule="auto"/>
        <w:tabs>
          <w:tab w:leader="none" w:pos="8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Quarterly Report on Form 10-Q of CoStar Group, Inc., for the quarter ended June 30, 2025, fully complies with the requirements of Section 13(a) or 15(d) of the Securities Exchange Act of 1934 (15 U.S.C. 78m or 78o(d)); and</w:t>
      </w:r>
    </w:p>
    <w:p>
      <w:pPr>
        <w:spacing w:after="0" w:line="189" w:lineRule="exact"/>
        <w:rPr>
          <w:rFonts w:ascii="Times New Roman" w:cs="Times New Roman" w:eastAsia="Times New Roman" w:hAnsi="Times New Roman"/>
          <w:sz w:val="18"/>
          <w:szCs w:val="18"/>
          <w:color w:val="auto"/>
        </w:rPr>
      </w:pPr>
    </w:p>
    <w:p>
      <w:pPr>
        <w:ind w:right="20" w:firstLine="642"/>
        <w:spacing w:after="0" w:line="274" w:lineRule="auto"/>
        <w:tabs>
          <w:tab w:leader="none" w:pos="8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Quarterly Report on Form 10-Q of CoStar Group, Inc., for the quarter ended June 30, 2025, fairly presents, in all material respects, the financial condition and results of operations of CoStar Group, Inc.</w:t>
      </w:r>
    </w:p>
    <w:p>
      <w:pPr>
        <w:spacing w:after="0" w:line="2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 /s/ Andrew C. Florance</w:t>
      </w:r>
    </w:p>
    <w:p>
      <w:pPr>
        <w:spacing w:after="0" w:line="200" w:lineRule="exact"/>
        <w:rPr>
          <w:sz w:val="20"/>
          <w:szCs w:val="20"/>
          <w:color w:val="auto"/>
        </w:rPr>
      </w:pPr>
    </w:p>
    <w:p>
      <w:pPr>
        <w:spacing w:after="0" w:line="34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Andrew C. Florance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p>
      <w:pPr>
        <w:spacing w:after="0" w:line="171"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204" w:lineRule="exact"/>
        <w:rPr>
          <w:sz w:val="20"/>
          <w:szCs w:val="20"/>
          <w:color w:val="auto"/>
        </w:rPr>
      </w:pPr>
    </w:p>
    <w:p>
      <w:pPr>
        <w:jc w:val="both"/>
        <w:ind w:right="200"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32.1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240"/>
          </w:cols>
          <w:pgMar w:left="320" w:top="87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1331 L Street, NW</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23,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Certification Of Principal Financial Officer Pursuant To 18 U.S.C. Sec. 1350</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44" w:lineRule="exact"/>
        <w:rPr>
          <w:sz w:val="20"/>
          <w:szCs w:val="20"/>
          <w:color w:val="auto"/>
        </w:rPr>
      </w:pPr>
    </w:p>
    <w:p>
      <w:pPr>
        <w:jc w:val="both"/>
        <w:ind w:right="160"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CoStar Group, Inc., for the quarter ended June 30, 2025, I, Christian M. Lown, Chief Financial Officer of CoStar Group, Inc., hereby certify pursuant to 18 U.S.C. Section 1350, as adopted pursuant to Section 906 of the Sarbanes-Oxley Act of 2002, that:</w:t>
      </w:r>
    </w:p>
    <w:p>
      <w:pPr>
        <w:spacing w:after="0" w:line="204" w:lineRule="exact"/>
        <w:rPr>
          <w:sz w:val="20"/>
          <w:szCs w:val="20"/>
          <w:color w:val="auto"/>
        </w:rPr>
      </w:pPr>
    </w:p>
    <w:p>
      <w:pPr>
        <w:ind w:right="160" w:firstLine="642"/>
        <w:spacing w:after="0" w:line="274" w:lineRule="auto"/>
        <w:tabs>
          <w:tab w:leader="none" w:pos="8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Quarterly Report on Form 10-Q of CoStar Group, Inc., for the quarter ended June 30, 2025, fully complies with the requirements of Section 13(a) or 15(d) of the Securities Exchange Act of 1934 (15 U.S.C. 78m or 78o(d)); and</w:t>
      </w:r>
    </w:p>
    <w:p>
      <w:pPr>
        <w:spacing w:after="0" w:line="189" w:lineRule="exact"/>
        <w:rPr>
          <w:rFonts w:ascii="Times New Roman" w:cs="Times New Roman" w:eastAsia="Times New Roman" w:hAnsi="Times New Roman"/>
          <w:sz w:val="18"/>
          <w:szCs w:val="18"/>
          <w:color w:val="auto"/>
        </w:rPr>
      </w:pPr>
    </w:p>
    <w:p>
      <w:pPr>
        <w:ind w:right="20" w:firstLine="642"/>
        <w:spacing w:after="0" w:line="274" w:lineRule="auto"/>
        <w:tabs>
          <w:tab w:leader="none" w:pos="8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Quarterly Report on Form 10-Q of CoStar Group, Inc., for the quarter ended June 30, 2025, fairly presents, in all material respects, the financial condition and results of operations of CoStar Group, Inc.</w:t>
      </w:r>
    </w:p>
    <w:p>
      <w:pPr>
        <w:spacing w:after="0" w:line="2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Christian M. Lown</w:t>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Christian M. Lown</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211"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204" w:lineRule="exact"/>
        <w:rPr>
          <w:sz w:val="20"/>
          <w:szCs w:val="20"/>
          <w:color w:val="auto"/>
        </w:rPr>
      </w:pPr>
    </w:p>
    <w:p>
      <w:pPr>
        <w:jc w:val="both"/>
        <w:ind w:right="200"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32.2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lowerRoman"/>
      <w:start w:val="2"/>
    </w:lvl>
  </w:abstractNum>
  <w:abstractNum w:abstractNumId="4">
    <w:nsid w:val="54E49EB4"/>
    <w:multiLevelType w:val="hybridMultilevel"/>
    <w:lvl w:ilvl="0">
      <w:lvlJc w:val="left"/>
      <w:lvlText w:val="(%1)"/>
      <w:numFmt w:val="lowerRoman"/>
      <w:start w:val="4"/>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decimal"/>
      <w:start w:val="3"/>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4"/>
    </w:lvl>
  </w:abstractNum>
  <w:abstractNum w:abstractNumId="12">
    <w:nsid w:val="7C3DBD3D"/>
    <w:multiLevelType w:val="hybridMultilevel"/>
    <w:lvl w:ilvl="0">
      <w:lvlJc w:val="left"/>
      <w:lvlText w:val="%1."/>
      <w:numFmt w:val="decimal"/>
      <w:start w:val="5"/>
    </w:lvl>
  </w:abstractNum>
  <w:abstractNum w:abstractNumId="13">
    <w:nsid w:val="737B8DDC"/>
    <w:multiLevelType w:val="hybridMultilevel"/>
    <w:lvl w:ilvl="0">
      <w:lvlJc w:val="left"/>
      <w:lvlText w:val="%1."/>
      <w:numFmt w:val="decimal"/>
      <w:start w:val="8"/>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9"/>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82" Type="http://schemas.openxmlformats.org/officeDocument/2006/relationships/hyperlink" Target="https://www.sec.gov/Archives/edgar/data/0001057352/000105735221000074/ex31-fourtharcharter.htm" TargetMode="External"/><Relationship Id="rId83" Type="http://schemas.openxmlformats.org/officeDocument/2006/relationships/hyperlink" Target="https://www.sec.gov/Archives/edgar/data/1057352/000105735222000069/fourthamendedandrestatedby.htm" TargetMode="External"/><Relationship Id="rId84" Type="http://schemas.openxmlformats.org/officeDocument/2006/relationships/hyperlink" Target="https://www.sec.gov/Archives/edgar/data/1057352/000119312525107493/d821281ddef14a.htm#toc821281_48" TargetMode="External"/><Relationship Id="rId85" Type="http://schemas.openxmlformats.org/officeDocument/2006/relationships/hyperlink" Target="https://www.sec.gov/Archives/edgar/data/1057352/000119312525074119/d937923dex101.htm" TargetMode="External"/><Relationship Id="rId86" Type="http://schemas.openxmlformats.org/officeDocument/2006/relationships/hyperlink" Target="https://www.sec.gov/Archives/edgar/data/1057352/000119312525074119/d937923dex102.htm" TargetMode="External"/><Relationship Id="rId87" Type="http://schemas.openxmlformats.org/officeDocument/2006/relationships/hyperlink" Target="https://www.sec.gov/ix?doc=/Archives/edgar/data/0001057352/000105735225000069/csgp-202505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2025-07-23T15:08:47Z</dcterms:created>
  <dcterms:modified xsi:type="dcterms:W3CDTF">2025-07-23T15:08:47Z</dcterms:modified>
</cp:coreProperties>
</file>