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June 23,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COSTAR GROUP,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91" w:lineRule="exact"/>
        <w:rPr>
          <w:sz w:val="24"/>
          <w:szCs w:val="24"/>
          <w:color w:val="auto"/>
        </w:rPr>
      </w:pPr>
    </w:p>
    <w:tbl>
      <w:tblPr>
        <w:tblLayout w:type="fixed"/>
        <w:tblInd w:w="3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260" w:type="dxa"/>
            <w:vAlign w:val="bottom"/>
          </w:tcPr>
          <w:p>
            <w:pPr>
              <w:spacing w:after="0"/>
              <w:rPr>
                <w:sz w:val="13"/>
                <w:szCs w:val="13"/>
                <w:color w:val="auto"/>
              </w:rPr>
            </w:pPr>
          </w:p>
        </w:tc>
        <w:tc>
          <w:tcPr>
            <w:tcW w:w="234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0-24531</w:t>
            </w:r>
          </w:p>
        </w:tc>
        <w:tc>
          <w:tcPr>
            <w:tcW w:w="880" w:type="dxa"/>
            <w:vAlign w:val="bottom"/>
          </w:tcPr>
          <w:p>
            <w:pPr>
              <w:spacing w:after="0"/>
              <w:rPr>
                <w:sz w:val="13"/>
                <w:szCs w:val="13"/>
                <w:color w:val="auto"/>
              </w:rPr>
            </w:pPr>
          </w:p>
        </w:tc>
        <w:tc>
          <w:tcPr>
            <w:tcW w:w="322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52-2091509</w:t>
            </w:r>
          </w:p>
        </w:tc>
      </w:tr>
      <w:tr>
        <w:trPr>
          <w:trHeight w:val="20"/>
        </w:trPr>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3"/>
        </w:trPr>
        <w:tc>
          <w:tcPr>
            <w:tcW w:w="3700" w:type="dxa"/>
            <w:vAlign w:val="bottom"/>
            <w:gridSpan w:val="5"/>
          </w:tcPr>
          <w:p>
            <w:pPr>
              <w:jc w:val="center"/>
              <w:ind w:right="24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680" w:type="dxa"/>
            <w:vAlign w:val="bottom"/>
          </w:tcPr>
          <w:p>
            <w:pPr>
              <w:spacing w:after="0"/>
              <w:rPr>
                <w:sz w:val="18"/>
                <w:szCs w:val="18"/>
                <w:color w:val="auto"/>
              </w:rPr>
            </w:pPr>
          </w:p>
        </w:tc>
        <w:tc>
          <w:tcPr>
            <w:tcW w:w="2540" w:type="dxa"/>
            <w:vAlign w:val="bottom"/>
            <w:gridSpan w:val="4"/>
          </w:tcPr>
          <w:p>
            <w:pPr>
              <w:jc w:val="center"/>
              <w:ind w:right="740"/>
              <w:spacing w:after="0"/>
              <w:rPr>
                <w:sz w:val="20"/>
                <w:szCs w:val="20"/>
                <w:color w:val="auto"/>
              </w:rPr>
            </w:pPr>
            <w:r>
              <w:rPr>
                <w:rFonts w:ascii="Times New Roman" w:cs="Times New Roman" w:eastAsia="Times New Roman" w:hAnsi="Times New Roman"/>
                <w:sz w:val="14"/>
                <w:szCs w:val="14"/>
                <w:color w:val="auto"/>
              </w:rPr>
              <w:t>(Commission File Number)</w:t>
            </w:r>
          </w:p>
        </w:tc>
        <w:tc>
          <w:tcPr>
            <w:tcW w:w="3220" w:type="dxa"/>
            <w:vAlign w:val="bottom"/>
            <w:gridSpan w:val="3"/>
          </w:tcPr>
          <w:p>
            <w:pPr>
              <w:jc w:val="center"/>
              <w:ind w:left="60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08"/>
        </w:trPr>
        <w:tc>
          <w:tcPr>
            <w:tcW w:w="440" w:type="dxa"/>
            <w:vAlign w:val="bottom"/>
          </w:tcPr>
          <w:p>
            <w:pPr>
              <w:spacing w:after="0"/>
              <w:rPr>
                <w:sz w:val="24"/>
                <w:szCs w:val="24"/>
                <w:color w:val="auto"/>
              </w:rPr>
            </w:pPr>
          </w:p>
        </w:tc>
        <w:tc>
          <w:tcPr>
            <w:tcW w:w="20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1201 Wilson Blvd.</w:t>
            </w:r>
          </w:p>
        </w:tc>
        <w:tc>
          <w:tcPr>
            <w:tcW w:w="12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Arlington,</w:t>
            </w: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VA</w:t>
            </w:r>
          </w:p>
        </w:tc>
        <w:tc>
          <w:tcPr>
            <w:tcW w:w="16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22209</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440" w:type="dxa"/>
            <w:vAlign w:val="bottom"/>
          </w:tcPr>
          <w:p>
            <w:pPr>
              <w:spacing w:after="0"/>
              <w:rPr>
                <w:sz w:val="15"/>
                <w:szCs w:val="15"/>
                <w:color w:val="auto"/>
              </w:rPr>
            </w:pPr>
          </w:p>
        </w:tc>
        <w:tc>
          <w:tcPr>
            <w:tcW w:w="3260" w:type="dxa"/>
            <w:vAlign w:val="bottom"/>
            <w:tcBorders>
              <w:top w:val="single" w:sz="8" w:color="auto"/>
            </w:tcBorders>
            <w:gridSpan w:val="4"/>
          </w:tcPr>
          <w:p>
            <w:pPr>
              <w:ind w:left="8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8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220" w:type="dxa"/>
            <w:vAlign w:val="bottom"/>
            <w:tcBorders>
              <w:top w:val="single" w:sz="8" w:color="auto"/>
            </w:tcBorders>
            <w:gridSpan w:val="3"/>
          </w:tcPr>
          <w:p>
            <w:pPr>
              <w:jc w:val="center"/>
              <w:ind w:right="880"/>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65"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(202) 346-6500</w:t>
      </w:r>
    </w:p>
    <w:p>
      <w:pPr>
        <w:spacing w:after="0" w:line="43"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4"/>
          <w:szCs w:val="14"/>
          <w:u w:val="single" w:color="auto"/>
          <w:color w:val="auto"/>
        </w:rPr>
        <w:t>Not Applicable</w:t>
      </w:r>
    </w:p>
    <w:p>
      <w:pPr>
        <w:spacing w:after="0" w:line="23"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04"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04"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14"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170"/>
        </w:trPr>
        <w:tc>
          <w:tcPr>
            <w:tcW w:w="20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320" w:type="dxa"/>
            <w:vAlign w:val="bottom"/>
          </w:tcPr>
          <w:p>
            <w:pPr>
              <w:spacing w:after="0"/>
              <w:rPr>
                <w:sz w:val="14"/>
                <w:szCs w:val="14"/>
                <w:color w:val="auto"/>
              </w:rPr>
            </w:pPr>
          </w:p>
        </w:tc>
        <w:tc>
          <w:tcPr>
            <w:tcW w:w="2460" w:type="dxa"/>
            <w:vAlign w:val="bottom"/>
            <w:gridSpan w:val="3"/>
          </w:tcPr>
          <w:p>
            <w:pPr>
              <w:jc w:val="center"/>
              <w:ind w:left="69"/>
              <w:spacing w:after="0"/>
              <w:rPr>
                <w:sz w:val="20"/>
                <w:szCs w:val="20"/>
                <w:color w:val="auto"/>
              </w:rPr>
            </w:pPr>
            <w:r>
              <w:rPr>
                <w:rFonts w:ascii="Times New Roman" w:cs="Times New Roman" w:eastAsia="Times New Roman" w:hAnsi="Times New Roman"/>
                <w:sz w:val="14"/>
                <w:szCs w:val="14"/>
                <w:color w:val="auto"/>
              </w:rPr>
              <w:t>Trading Symbol</w:t>
            </w:r>
          </w:p>
        </w:tc>
        <w:tc>
          <w:tcPr>
            <w:tcW w:w="3220" w:type="dxa"/>
            <w:vAlign w:val="bottom"/>
            <w:gridSpan w:val="2"/>
          </w:tcPr>
          <w:p>
            <w:pPr>
              <w:jc w:val="center"/>
              <w:ind w:left="64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2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192"/>
        </w:trPr>
        <w:tc>
          <w:tcPr>
            <w:tcW w:w="4340" w:type="dxa"/>
            <w:vAlign w:val="bottom"/>
            <w:gridSpan w:val="3"/>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Common Stock ($0.01 par value)</w:t>
            </w:r>
          </w:p>
        </w:tc>
        <w:tc>
          <w:tcPr>
            <w:tcW w:w="840" w:type="dxa"/>
            <w:vAlign w:val="bottom"/>
          </w:tcPr>
          <w:p>
            <w:pPr>
              <w:spacing w:after="0"/>
              <w:rPr>
                <w:sz w:val="16"/>
                <w:szCs w:val="16"/>
                <w:color w:val="auto"/>
              </w:rPr>
            </w:pPr>
          </w:p>
        </w:tc>
        <w:tc>
          <w:tcPr>
            <w:tcW w:w="1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6"/>
              </w:rPr>
              <w:t>CSGP</w:t>
            </w:r>
          </w:p>
        </w:tc>
        <w:tc>
          <w:tcPr>
            <w:tcW w:w="72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71" w:lineRule="exact"/>
        <w:rPr>
          <w:sz w:val="24"/>
          <w:szCs w:val="24"/>
          <w:color w:val="auto"/>
        </w:rPr>
      </w:pPr>
    </w:p>
    <w:p>
      <w:pPr>
        <w:ind w:right="580"/>
        <w:spacing w:after="0" w:line="25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ind w:left="9580"/>
        <w:spacing w:after="0" w:line="150" w:lineRule="exact"/>
        <w:rPr>
          <w:sz w:val="20"/>
          <w:szCs w:val="20"/>
          <w:color w:val="auto"/>
        </w:rPr>
      </w:pPr>
      <w:r>
        <w:rPr>
          <w:rFonts w:ascii="Times New Roman" w:cs="Times New Roman" w:eastAsia="Times New Roman" w:hAnsi="Times New Roman"/>
          <w:sz w:val="13"/>
          <w:szCs w:val="13"/>
          <w:color w:val="231F20"/>
        </w:rPr>
        <w:t xml:space="preserve">Emerging growth company </w:t>
      </w:r>
      <w:r>
        <w:rPr>
          <w:rFonts w:ascii="MS PGothic" w:cs="MS PGothic" w:eastAsia="MS PGothic" w:hAnsi="MS PGothic"/>
          <w:sz w:val="13"/>
          <w:szCs w:val="13"/>
          <w:color w:val="000000"/>
        </w:rPr>
        <w:t>☐</w:t>
      </w:r>
    </w:p>
    <w:p>
      <w:pPr>
        <w:spacing w:after="0" w:line="200" w:lineRule="exact"/>
        <w:rPr>
          <w:sz w:val="24"/>
          <w:szCs w:val="24"/>
          <w:color w:val="auto"/>
        </w:rPr>
      </w:pPr>
    </w:p>
    <w:p>
      <w:pPr>
        <w:ind w:right="220"/>
        <w:spacing w:after="0" w:line="253"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71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7" w:right="319" w:bottom="1440" w:gutter="0" w:footer="0" w:header="0"/>
        </w:sectPr>
      </w:pPr>
    </w:p>
    <w:bookmarkStart w:id="1" w:name="page2"/>
    <w:bookmarkEnd w:id="1"/>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5.02</w:t>
        <w:tab/>
        <w:t>Departure of Directors or Certain Officers; Election of Directors; Appointment of Certain Officers; Compensatory Arrangements of Certain Officers.</w:t>
      </w:r>
    </w:p>
    <w:p>
      <w:pPr>
        <w:spacing w:after="0" w:line="1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On June 23, 2026, at the Annual Meeting of Stockholders (the “Annual Meeting”) of CoStar Group, Inc. (the “Company” or “our”), the stockholders of the Company, upon the recommendation of the Board of Directors of the Company (the “Board”), approved the CoStar Group, Inc. 2026 Employee Stock Purchase Plan (the “2026 ESPP”), which was approved by the Board on April 27, 2026 and became effective upon stockholder approval at the Annual Meeting. The 2026 ESPP replaces the Company’s Second Amended and Restated Employee Stock Purchase Plan (the “2021 ESPP”), and no further shares will be issued pursuant to the 2021 ESPP. The 2026 ESPP authorizes the issuance of 2,500,000 shares of the Company’s common stock.</w:t>
      </w:r>
    </w:p>
    <w:p>
      <w:pPr>
        <w:spacing w:after="0" w:line="162"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4"/>
          <w:szCs w:val="14"/>
          <w:color w:val="auto"/>
        </w:rPr>
        <w:t>A more detailed description of the material terms of the 2026 ESPP was included in the Company’s Definitive Proxy Statement on Schedule 14A (the “Proxy Statement”) filed with the Securities and Exchange Commission on April 30, 2026. The foregoing and the summary in the Proxy Statement are not complete summaries of the terms of the 2026 ESPP and are qualified by reference to the text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the 2026 ESPP, which is included as Exhibit 10.1 hereto and is incorporated by reference herein.</w:t>
      </w:r>
    </w:p>
    <w:p>
      <w:pPr>
        <w:spacing w:after="0" w:line="16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Item 5.07</w:t>
      </w:r>
      <w:r>
        <w:rPr>
          <w:sz w:val="20"/>
          <w:szCs w:val="20"/>
          <w:color w:val="auto"/>
        </w:rPr>
        <w:tab/>
      </w:r>
      <w:r>
        <w:rPr>
          <w:rFonts w:ascii="Times New Roman" w:cs="Times New Roman" w:eastAsia="Times New Roman" w:hAnsi="Times New Roman"/>
          <w:sz w:val="14"/>
          <w:szCs w:val="14"/>
          <w:b w:val="1"/>
          <w:bCs w:val="1"/>
          <w:color w:val="auto"/>
        </w:rPr>
        <w:t>Submission of Matters to a Vote of Security Holders.</w:t>
      </w:r>
    </w:p>
    <w:p>
      <w:pPr>
        <w:spacing w:after="0" w:line="2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following items, which are more fully described in the Proxy Statement, were submitted to a vote of the stockholders of the Company at the Annual Meeting. The final voting results are as follows:</w:t>
      </w:r>
    </w:p>
    <w:p>
      <w:pPr>
        <w:spacing w:after="0" w:line="328" w:lineRule="exact"/>
        <w:rPr>
          <w:sz w:val="20"/>
          <w:szCs w:val="20"/>
          <w:color w:val="auto"/>
        </w:rPr>
      </w:pPr>
    </w:p>
    <w:p>
      <w:pPr>
        <w:ind w:left="520" w:right="100" w:hanging="260"/>
        <w:spacing w:after="0" w:line="271"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following nominees was elected to our Board to serve until the Company’s 2027 Annual Meeting of Stockholders or until his or her successor is elected and qualified: Louise S. Sams, Andrew C. Florance, John L. Berisford, Angelique G. Brunner, Rachel C. Glaser, John W. Hill, Christine M. McCarthy, and Robert W. Musslewhite.</w:t>
      </w:r>
    </w:p>
    <w:p>
      <w:pPr>
        <w:spacing w:after="0" w:line="363" w:lineRule="exact"/>
        <w:rPr>
          <w:sz w:val="20"/>
          <w:szCs w:val="20"/>
          <w:color w:val="auto"/>
        </w:rPr>
      </w:pPr>
    </w:p>
    <w:tbl>
      <w:tblPr>
        <w:tblLayout w:type="fixed"/>
        <w:tblInd w:w="890" w:type="dxa"/>
        <w:tblCellMar>
          <w:top w:w="0" w:type="dxa"/>
          <w:left w:w="0" w:type="dxa"/>
          <w:bottom w:w="0" w:type="dxa"/>
          <w:right w:w="0" w:type="dxa"/>
        </w:tblCellMar>
      </w:tblPr>
      <w:tr>
        <w:trPr>
          <w:trHeight w:val="191"/>
        </w:trPr>
        <w:tc>
          <w:tcPr>
            <w:tcW w:w="2500" w:type="dxa"/>
            <w:vAlign w:val="bottom"/>
            <w:tcBorders>
              <w:top w:val="single" w:sz="8" w:color="auto"/>
              <w:left w:val="single" w:sz="8" w:color="auto"/>
              <w:bottom w:val="single" w:sz="8" w:color="auto"/>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tcBorders>
              <w:top w:val="single" w:sz="8" w:color="auto"/>
              <w:bottom w:val="single" w:sz="8" w:color="auto"/>
              <w:right w:val="single" w:sz="8" w:color="auto"/>
            </w:tcBorders>
            <w:shd w:val="clear" w:color="auto" w:fill="BFE4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700" w:type="dxa"/>
            <w:vAlign w:val="bottom"/>
            <w:tcBorders>
              <w:top w:val="single" w:sz="8" w:color="auto"/>
              <w:bottom w:val="single" w:sz="8" w:color="auto"/>
              <w:right w:val="single" w:sz="8" w:color="auto"/>
            </w:tcBorders>
            <w:shd w:val="clear" w:color="auto" w:fill="BFE4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780" w:type="dxa"/>
            <w:vAlign w:val="bottom"/>
            <w:tcBorders>
              <w:top w:val="single" w:sz="8" w:color="auto"/>
              <w:bottom w:val="single" w:sz="8" w:color="auto"/>
              <w:right w:val="single" w:sz="8" w:color="auto"/>
            </w:tcBorders>
            <w:shd w:val="clear" w:color="auto" w:fill="BFE4FF"/>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980" w:type="dxa"/>
            <w:vAlign w:val="bottom"/>
            <w:tcBorders>
              <w:top w:val="single" w:sz="8" w:color="auto"/>
              <w:bottom w:val="single" w:sz="8" w:color="auto"/>
              <w:right w:val="single" w:sz="8" w:color="auto"/>
            </w:tcBorders>
            <w:shd w:val="clear" w:color="auto" w:fill="BFE4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171"/>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Louise S. Sams</w:t>
            </w:r>
          </w:p>
        </w:tc>
        <w:tc>
          <w:tcPr>
            <w:tcW w:w="1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339,006,366</w:t>
            </w:r>
          </w:p>
        </w:tc>
        <w:tc>
          <w:tcPr>
            <w:tcW w:w="1700" w:type="dxa"/>
            <w:vAlign w:val="bottom"/>
            <w:tcBorders>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21,916,539</w:t>
            </w:r>
          </w:p>
        </w:tc>
        <w:tc>
          <w:tcPr>
            <w:tcW w:w="1780" w:type="dxa"/>
            <w:vAlign w:val="bottom"/>
            <w:tcBorders>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137,272</w:t>
            </w:r>
          </w:p>
        </w:tc>
        <w:tc>
          <w:tcPr>
            <w:tcW w:w="1980" w:type="dxa"/>
            <w:vAlign w:val="bottom"/>
            <w:tcBorders>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9,772,170</w:t>
            </w:r>
          </w:p>
        </w:tc>
      </w:tr>
      <w:tr>
        <w:trPr>
          <w:trHeight w:val="171"/>
        </w:trPr>
        <w:tc>
          <w:tcPr>
            <w:tcW w:w="2500" w:type="dxa"/>
            <w:vAlign w:val="bottom"/>
            <w:tcBorders>
              <w:left w:val="single" w:sz="8" w:color="auto"/>
              <w:bottom w:val="single" w:sz="8" w:color="auto"/>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4"/>
                <w:szCs w:val="14"/>
                <w:color w:val="auto"/>
              </w:rPr>
              <w:t>Andrew C. Florance</w:t>
            </w:r>
          </w:p>
        </w:tc>
        <w:tc>
          <w:tcPr>
            <w:tcW w:w="158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359,034,877</w:t>
            </w:r>
          </w:p>
        </w:tc>
        <w:tc>
          <w:tcPr>
            <w:tcW w:w="1700" w:type="dxa"/>
            <w:vAlign w:val="bottom"/>
            <w:tcBorders>
              <w:bottom w:val="single" w:sz="8" w:color="auto"/>
              <w:right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rPr>
              <w:t>1,924,104</w:t>
            </w:r>
          </w:p>
        </w:tc>
        <w:tc>
          <w:tcPr>
            <w:tcW w:w="1780" w:type="dxa"/>
            <w:vAlign w:val="bottom"/>
            <w:tcBorders>
              <w:bottom w:val="single" w:sz="8" w:color="auto"/>
              <w:right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rPr>
              <w:t>101,196</w:t>
            </w:r>
          </w:p>
        </w:tc>
        <w:tc>
          <w:tcPr>
            <w:tcW w:w="1980" w:type="dxa"/>
            <w:vAlign w:val="bottom"/>
            <w:tcBorders>
              <w:bottom w:val="single" w:sz="8" w:color="auto"/>
              <w:right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rPr>
              <w:t>9,772,170</w:t>
            </w:r>
          </w:p>
        </w:tc>
      </w:tr>
      <w:tr>
        <w:trPr>
          <w:trHeight w:val="171"/>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John L. Berisford</w:t>
            </w:r>
          </w:p>
        </w:tc>
        <w:tc>
          <w:tcPr>
            <w:tcW w:w="1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354,126,137</w:t>
            </w:r>
          </w:p>
        </w:tc>
        <w:tc>
          <w:tcPr>
            <w:tcW w:w="1700" w:type="dxa"/>
            <w:vAlign w:val="bottom"/>
            <w:tcBorders>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6,332,305</w:t>
            </w:r>
          </w:p>
        </w:tc>
        <w:tc>
          <w:tcPr>
            <w:tcW w:w="1780" w:type="dxa"/>
            <w:vAlign w:val="bottom"/>
            <w:tcBorders>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601,735</w:t>
            </w:r>
          </w:p>
        </w:tc>
        <w:tc>
          <w:tcPr>
            <w:tcW w:w="1980" w:type="dxa"/>
            <w:vAlign w:val="bottom"/>
            <w:tcBorders>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9,772,170</w:t>
            </w:r>
          </w:p>
        </w:tc>
      </w:tr>
      <w:tr>
        <w:trPr>
          <w:trHeight w:val="171"/>
        </w:trPr>
        <w:tc>
          <w:tcPr>
            <w:tcW w:w="2500" w:type="dxa"/>
            <w:vAlign w:val="bottom"/>
            <w:tcBorders>
              <w:left w:val="single" w:sz="8" w:color="auto"/>
              <w:bottom w:val="single" w:sz="8" w:color="auto"/>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4"/>
                <w:szCs w:val="14"/>
                <w:color w:val="auto"/>
              </w:rPr>
              <w:t>Angelique G. Brunner</w:t>
            </w:r>
          </w:p>
        </w:tc>
        <w:tc>
          <w:tcPr>
            <w:tcW w:w="158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354,456,998</w:t>
            </w:r>
          </w:p>
        </w:tc>
        <w:tc>
          <w:tcPr>
            <w:tcW w:w="1700" w:type="dxa"/>
            <w:vAlign w:val="bottom"/>
            <w:tcBorders>
              <w:bottom w:val="single" w:sz="8" w:color="auto"/>
              <w:right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rPr>
              <w:t>6,495,209</w:t>
            </w:r>
          </w:p>
        </w:tc>
        <w:tc>
          <w:tcPr>
            <w:tcW w:w="1780" w:type="dxa"/>
            <w:vAlign w:val="bottom"/>
            <w:tcBorders>
              <w:bottom w:val="single" w:sz="8" w:color="auto"/>
              <w:right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rPr>
              <w:t>107,970</w:t>
            </w:r>
          </w:p>
        </w:tc>
        <w:tc>
          <w:tcPr>
            <w:tcW w:w="1980" w:type="dxa"/>
            <w:vAlign w:val="bottom"/>
            <w:tcBorders>
              <w:bottom w:val="single" w:sz="8" w:color="auto"/>
              <w:right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rPr>
              <w:t>9,772,170</w:t>
            </w:r>
          </w:p>
        </w:tc>
      </w:tr>
      <w:tr>
        <w:trPr>
          <w:trHeight w:val="171"/>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Rachel C. Glaser</w:t>
            </w:r>
          </w:p>
        </w:tc>
        <w:tc>
          <w:tcPr>
            <w:tcW w:w="1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357,314,132</w:t>
            </w:r>
          </w:p>
        </w:tc>
        <w:tc>
          <w:tcPr>
            <w:tcW w:w="1700" w:type="dxa"/>
            <w:vAlign w:val="bottom"/>
            <w:tcBorders>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2,366,072</w:t>
            </w:r>
          </w:p>
        </w:tc>
        <w:tc>
          <w:tcPr>
            <w:tcW w:w="1780" w:type="dxa"/>
            <w:vAlign w:val="bottom"/>
            <w:tcBorders>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1,379,973</w:t>
            </w:r>
          </w:p>
        </w:tc>
        <w:tc>
          <w:tcPr>
            <w:tcW w:w="1980" w:type="dxa"/>
            <w:vAlign w:val="bottom"/>
            <w:tcBorders>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9,772,170</w:t>
            </w:r>
          </w:p>
        </w:tc>
      </w:tr>
      <w:tr>
        <w:trPr>
          <w:trHeight w:val="171"/>
        </w:trPr>
        <w:tc>
          <w:tcPr>
            <w:tcW w:w="2500" w:type="dxa"/>
            <w:vAlign w:val="bottom"/>
            <w:tcBorders>
              <w:left w:val="single" w:sz="8" w:color="auto"/>
              <w:bottom w:val="single" w:sz="8" w:color="auto"/>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4"/>
                <w:szCs w:val="14"/>
                <w:color w:val="auto"/>
              </w:rPr>
              <w:t>John W. Hill</w:t>
            </w:r>
          </w:p>
        </w:tc>
        <w:tc>
          <w:tcPr>
            <w:tcW w:w="158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353,842,997</w:t>
            </w:r>
          </w:p>
        </w:tc>
        <w:tc>
          <w:tcPr>
            <w:tcW w:w="1700" w:type="dxa"/>
            <w:vAlign w:val="bottom"/>
            <w:tcBorders>
              <w:bottom w:val="single" w:sz="8" w:color="auto"/>
              <w:right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rPr>
              <w:t>6,744,956</w:t>
            </w:r>
          </w:p>
        </w:tc>
        <w:tc>
          <w:tcPr>
            <w:tcW w:w="1780" w:type="dxa"/>
            <w:vAlign w:val="bottom"/>
            <w:tcBorders>
              <w:bottom w:val="single" w:sz="8" w:color="auto"/>
              <w:right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rPr>
              <w:t>472,224</w:t>
            </w:r>
          </w:p>
        </w:tc>
        <w:tc>
          <w:tcPr>
            <w:tcW w:w="1980" w:type="dxa"/>
            <w:vAlign w:val="bottom"/>
            <w:tcBorders>
              <w:bottom w:val="single" w:sz="8" w:color="auto"/>
              <w:right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rPr>
              <w:t>9,772,170</w:t>
            </w:r>
          </w:p>
        </w:tc>
      </w:tr>
      <w:tr>
        <w:trPr>
          <w:trHeight w:val="171"/>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Christine M. McCarthy</w:t>
            </w:r>
          </w:p>
        </w:tc>
        <w:tc>
          <w:tcPr>
            <w:tcW w:w="1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357,893,033</w:t>
            </w:r>
          </w:p>
        </w:tc>
        <w:tc>
          <w:tcPr>
            <w:tcW w:w="1700" w:type="dxa"/>
            <w:vAlign w:val="bottom"/>
            <w:tcBorders>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1,785,174</w:t>
            </w:r>
          </w:p>
        </w:tc>
        <w:tc>
          <w:tcPr>
            <w:tcW w:w="1780" w:type="dxa"/>
            <w:vAlign w:val="bottom"/>
            <w:tcBorders>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1,381,970</w:t>
            </w:r>
          </w:p>
        </w:tc>
        <w:tc>
          <w:tcPr>
            <w:tcW w:w="1980" w:type="dxa"/>
            <w:vAlign w:val="bottom"/>
            <w:tcBorders>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9,772,170</w:t>
            </w:r>
          </w:p>
        </w:tc>
      </w:tr>
      <w:tr>
        <w:trPr>
          <w:trHeight w:val="171"/>
        </w:trPr>
        <w:tc>
          <w:tcPr>
            <w:tcW w:w="2500" w:type="dxa"/>
            <w:vAlign w:val="bottom"/>
            <w:tcBorders>
              <w:left w:val="single" w:sz="8" w:color="auto"/>
              <w:bottom w:val="single" w:sz="8" w:color="auto"/>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4"/>
                <w:szCs w:val="14"/>
                <w:color w:val="auto"/>
              </w:rPr>
              <w:t>Robert W. Musslewhite</w:t>
            </w:r>
          </w:p>
        </w:tc>
        <w:tc>
          <w:tcPr>
            <w:tcW w:w="1580" w:type="dxa"/>
            <w:vAlign w:val="bottom"/>
            <w:tcBorders>
              <w:bottom w:val="single" w:sz="8" w:color="auto"/>
              <w:right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342,052,457</w:t>
            </w:r>
          </w:p>
        </w:tc>
        <w:tc>
          <w:tcPr>
            <w:tcW w:w="1700" w:type="dxa"/>
            <w:vAlign w:val="bottom"/>
            <w:tcBorders>
              <w:bottom w:val="single" w:sz="8" w:color="auto"/>
              <w:right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rPr>
              <w:t>18,894,048</w:t>
            </w:r>
          </w:p>
        </w:tc>
        <w:tc>
          <w:tcPr>
            <w:tcW w:w="1780" w:type="dxa"/>
            <w:vAlign w:val="bottom"/>
            <w:tcBorders>
              <w:bottom w:val="single" w:sz="8" w:color="auto"/>
              <w:right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rPr>
              <w:t>113,672</w:t>
            </w:r>
          </w:p>
        </w:tc>
        <w:tc>
          <w:tcPr>
            <w:tcW w:w="1980" w:type="dxa"/>
            <w:vAlign w:val="bottom"/>
            <w:tcBorders>
              <w:bottom w:val="single" w:sz="8" w:color="auto"/>
              <w:right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rPr>
              <w:t>9,772,170</w:t>
            </w:r>
          </w:p>
        </w:tc>
      </w:tr>
    </w:tbl>
    <w:p>
      <w:pPr>
        <w:spacing w:after="0" w:line="240"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appointment of Ernst &amp; Young LLP as our independent registered public accounting firm for the fiscal year ending December 31, 2026 was ratified upon the following vote:</w:t>
      </w:r>
    </w:p>
    <w:p>
      <w:pPr>
        <w:spacing w:after="0" w:line="200" w:lineRule="exact"/>
        <w:rPr>
          <w:sz w:val="20"/>
          <w:szCs w:val="20"/>
          <w:color w:val="auto"/>
        </w:rPr>
      </w:pPr>
    </w:p>
    <w:p>
      <w:pPr>
        <w:spacing w:after="0" w:line="207" w:lineRule="exact"/>
        <w:rPr>
          <w:sz w:val="20"/>
          <w:szCs w:val="20"/>
          <w:color w:val="auto"/>
        </w:rPr>
      </w:pPr>
    </w:p>
    <w:tbl>
      <w:tblPr>
        <w:tblLayout w:type="fixed"/>
        <w:tblInd w:w="3490" w:type="dxa"/>
        <w:tblCellMar>
          <w:top w:w="0" w:type="dxa"/>
          <w:left w:w="0" w:type="dxa"/>
          <w:bottom w:w="0" w:type="dxa"/>
          <w:right w:w="0" w:type="dxa"/>
        </w:tblCellMar>
      </w:tblPr>
      <w:tr>
        <w:trPr>
          <w:trHeight w:val="191"/>
        </w:trPr>
        <w:tc>
          <w:tcPr>
            <w:tcW w:w="2360" w:type="dxa"/>
            <w:vAlign w:val="bottom"/>
            <w:tcBorders>
              <w:top w:val="single" w:sz="8" w:color="auto"/>
              <w:left w:val="single" w:sz="8" w:color="auto"/>
              <w:bottom w:val="single" w:sz="8" w:color="auto"/>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4"/>
                <w:szCs w:val="14"/>
                <w:color w:val="auto"/>
              </w:rPr>
              <w:t>Votes For</w:t>
            </w:r>
          </w:p>
        </w:tc>
        <w:tc>
          <w:tcPr>
            <w:tcW w:w="1980" w:type="dxa"/>
            <w:vAlign w:val="bottom"/>
            <w:tcBorders>
              <w:top w:val="single" w:sz="8" w:color="auto"/>
              <w:bottom w:val="single" w:sz="8" w:color="auto"/>
              <w:right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rPr>
              <w:t>351,556,365</w:t>
            </w:r>
          </w:p>
        </w:tc>
      </w:tr>
      <w:tr>
        <w:trPr>
          <w:trHeight w:val="171"/>
        </w:trPr>
        <w:tc>
          <w:tcPr>
            <w:tcW w:w="2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Votes Against</w:t>
            </w:r>
          </w:p>
        </w:tc>
        <w:tc>
          <w:tcPr>
            <w:tcW w:w="1980" w:type="dxa"/>
            <w:vAlign w:val="bottom"/>
            <w:tcBorders>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18,902,666</w:t>
            </w:r>
          </w:p>
        </w:tc>
      </w:tr>
      <w:tr>
        <w:trPr>
          <w:trHeight w:val="171"/>
        </w:trPr>
        <w:tc>
          <w:tcPr>
            <w:tcW w:w="2360" w:type="dxa"/>
            <w:vAlign w:val="bottom"/>
            <w:tcBorders>
              <w:left w:val="single" w:sz="8" w:color="auto"/>
              <w:bottom w:val="single" w:sz="8" w:color="auto"/>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4"/>
                <w:szCs w:val="14"/>
                <w:color w:val="auto"/>
              </w:rPr>
              <w:t>Abstentions</w:t>
            </w:r>
          </w:p>
        </w:tc>
        <w:tc>
          <w:tcPr>
            <w:tcW w:w="1980" w:type="dxa"/>
            <w:vAlign w:val="bottom"/>
            <w:tcBorders>
              <w:bottom w:val="single" w:sz="8" w:color="auto"/>
              <w:right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rPr>
              <w:t>373,316</w:t>
            </w:r>
          </w:p>
        </w:tc>
      </w:tr>
      <w:tr>
        <w:trPr>
          <w:trHeight w:val="171"/>
        </w:trPr>
        <w:tc>
          <w:tcPr>
            <w:tcW w:w="2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Broker Non-Votes</w:t>
            </w:r>
          </w:p>
        </w:tc>
        <w:tc>
          <w:tcPr>
            <w:tcW w:w="1980" w:type="dxa"/>
            <w:vAlign w:val="bottom"/>
            <w:tcBorders>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bl>
    <w:p>
      <w:pPr>
        <w:spacing w:after="0" w:line="251"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advisory resolution to approve the Company's executive compensation was approved upon the following vote:</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500" w:type="dxa"/>
            <w:vAlign w:val="bottom"/>
            <w:tcBorders>
              <w:right w:val="single" w:sz="8" w:color="auto"/>
            </w:tcBorders>
          </w:tcPr>
          <w:p>
            <w:pPr>
              <w:spacing w:after="0"/>
              <w:rPr>
                <w:sz w:val="16"/>
                <w:szCs w:val="16"/>
                <w:color w:val="auto"/>
              </w:rPr>
            </w:pPr>
          </w:p>
        </w:tc>
        <w:tc>
          <w:tcPr>
            <w:tcW w:w="2340" w:type="dxa"/>
            <w:vAlign w:val="bottom"/>
            <w:tcBorders>
              <w:top w:val="single" w:sz="8" w:color="auto"/>
              <w:bottom w:val="single" w:sz="8" w:color="auto"/>
              <w:right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Votes For</w:t>
            </w:r>
          </w:p>
        </w:tc>
        <w:tc>
          <w:tcPr>
            <w:tcW w:w="1980" w:type="dxa"/>
            <w:vAlign w:val="bottom"/>
            <w:tcBorders>
              <w:top w:val="single" w:sz="8" w:color="auto"/>
              <w:bottom w:val="single" w:sz="8" w:color="auto"/>
              <w:right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rPr>
              <w:t>257,665,608</w:t>
            </w:r>
          </w:p>
        </w:tc>
        <w:tc>
          <w:tcPr>
            <w:tcW w:w="3460" w:type="dxa"/>
            <w:vAlign w:val="bottom"/>
          </w:tcPr>
          <w:p>
            <w:pPr>
              <w:spacing w:after="0"/>
              <w:rPr>
                <w:sz w:val="16"/>
                <w:szCs w:val="16"/>
                <w:color w:val="auto"/>
              </w:rPr>
            </w:pPr>
          </w:p>
        </w:tc>
      </w:tr>
      <w:tr>
        <w:trPr>
          <w:trHeight w:val="171"/>
        </w:trPr>
        <w:tc>
          <w:tcPr>
            <w:tcW w:w="3500" w:type="dxa"/>
            <w:vAlign w:val="bottom"/>
            <w:tcBorders>
              <w:right w:val="single" w:sz="8" w:color="auto"/>
            </w:tcBorders>
          </w:tcPr>
          <w:p>
            <w:pPr>
              <w:spacing w:after="0"/>
              <w:rPr>
                <w:sz w:val="14"/>
                <w:szCs w:val="14"/>
                <w:color w:val="auto"/>
              </w:rPr>
            </w:pPr>
          </w:p>
        </w:tc>
        <w:tc>
          <w:tcPr>
            <w:tcW w:w="2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Votes Against</w:t>
            </w:r>
          </w:p>
        </w:tc>
        <w:tc>
          <w:tcPr>
            <w:tcW w:w="1980" w:type="dxa"/>
            <w:vAlign w:val="bottom"/>
            <w:tcBorders>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103,277,424</w:t>
            </w:r>
          </w:p>
        </w:tc>
        <w:tc>
          <w:tcPr>
            <w:tcW w:w="3460" w:type="dxa"/>
            <w:vAlign w:val="bottom"/>
          </w:tcPr>
          <w:p>
            <w:pPr>
              <w:spacing w:after="0"/>
              <w:rPr>
                <w:sz w:val="14"/>
                <w:szCs w:val="14"/>
                <w:color w:val="auto"/>
              </w:rPr>
            </w:pPr>
          </w:p>
        </w:tc>
      </w:tr>
      <w:tr>
        <w:trPr>
          <w:trHeight w:val="171"/>
        </w:trPr>
        <w:tc>
          <w:tcPr>
            <w:tcW w:w="3500" w:type="dxa"/>
            <w:vAlign w:val="bottom"/>
            <w:tcBorders>
              <w:right w:val="single" w:sz="8" w:color="auto"/>
            </w:tcBorders>
          </w:tcPr>
          <w:p>
            <w:pPr>
              <w:spacing w:after="0"/>
              <w:rPr>
                <w:sz w:val="14"/>
                <w:szCs w:val="14"/>
                <w:color w:val="auto"/>
              </w:rPr>
            </w:pPr>
          </w:p>
        </w:tc>
        <w:tc>
          <w:tcPr>
            <w:tcW w:w="2340" w:type="dxa"/>
            <w:vAlign w:val="bottom"/>
            <w:tcBorders>
              <w:bottom w:val="single" w:sz="8" w:color="auto"/>
              <w:right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Abstentions</w:t>
            </w:r>
          </w:p>
        </w:tc>
        <w:tc>
          <w:tcPr>
            <w:tcW w:w="1980" w:type="dxa"/>
            <w:vAlign w:val="bottom"/>
            <w:tcBorders>
              <w:bottom w:val="single" w:sz="8" w:color="auto"/>
              <w:right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rPr>
              <w:t>117,145</w:t>
            </w:r>
          </w:p>
        </w:tc>
        <w:tc>
          <w:tcPr>
            <w:tcW w:w="3460" w:type="dxa"/>
            <w:vAlign w:val="bottom"/>
          </w:tcPr>
          <w:p>
            <w:pPr>
              <w:spacing w:after="0"/>
              <w:rPr>
                <w:sz w:val="14"/>
                <w:szCs w:val="14"/>
                <w:color w:val="auto"/>
              </w:rPr>
            </w:pPr>
          </w:p>
        </w:tc>
      </w:tr>
      <w:tr>
        <w:trPr>
          <w:trHeight w:val="171"/>
        </w:trPr>
        <w:tc>
          <w:tcPr>
            <w:tcW w:w="3500" w:type="dxa"/>
            <w:vAlign w:val="bottom"/>
            <w:tcBorders>
              <w:right w:val="single" w:sz="8" w:color="auto"/>
            </w:tcBorders>
          </w:tcPr>
          <w:p>
            <w:pPr>
              <w:spacing w:after="0"/>
              <w:rPr>
                <w:sz w:val="14"/>
                <w:szCs w:val="14"/>
                <w:color w:val="auto"/>
              </w:rPr>
            </w:pPr>
          </w:p>
        </w:tc>
        <w:tc>
          <w:tcPr>
            <w:tcW w:w="2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Broker Non-Votes</w:t>
            </w:r>
          </w:p>
        </w:tc>
        <w:tc>
          <w:tcPr>
            <w:tcW w:w="1980" w:type="dxa"/>
            <w:vAlign w:val="bottom"/>
            <w:tcBorders>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9,772,170</w:t>
            </w:r>
          </w:p>
        </w:tc>
        <w:tc>
          <w:tcPr>
            <w:tcW w:w="3460" w:type="dxa"/>
            <w:vAlign w:val="bottom"/>
          </w:tcPr>
          <w:p>
            <w:pPr>
              <w:spacing w:after="0"/>
              <w:rPr>
                <w:sz w:val="14"/>
                <w:szCs w:val="14"/>
                <w:color w:val="auto"/>
              </w:rPr>
            </w:pPr>
          </w:p>
        </w:tc>
      </w:tr>
      <w:tr>
        <w:trPr>
          <w:trHeight w:val="1127"/>
        </w:trPr>
        <w:tc>
          <w:tcPr>
            <w:tcW w:w="35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03" w:right="319" w:bottom="1440" w:gutter="0" w:footer="0" w:header="0"/>
        </w:sectPr>
      </w:pPr>
    </w:p>
    <w:bookmarkStart w:id="2" w:name="page3"/>
    <w:bookmarkEnd w:id="2"/>
    <w:p>
      <w:pPr>
        <w:ind w:left="540" w:hanging="280"/>
        <w:spacing w:after="0"/>
        <w:tabs>
          <w:tab w:leader="none" w:pos="5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2026 ESPP was approved upon the following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7.01</w:t>
        <w:tab/>
        <w:t>Regulation FD Disclosure.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91"/>
        </w:trPr>
        <w:tc>
          <w:tcPr>
            <w:tcW w:w="1860" w:type="dxa"/>
            <w:vAlign w:val="bottom"/>
            <w:tcBorders>
              <w:top w:val="single" w:sz="8" w:color="auto"/>
              <w:left w:val="single" w:sz="8" w:color="auto"/>
              <w:bottom w:val="single" w:sz="8" w:color="auto"/>
              <w:right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Votes For</w:t>
            </w:r>
          </w:p>
        </w:tc>
        <w:tc>
          <w:tcPr>
            <w:tcW w:w="1580" w:type="dxa"/>
            <w:vAlign w:val="bottom"/>
            <w:tcBorders>
              <w:top w:val="single" w:sz="8" w:color="auto"/>
              <w:bottom w:val="single" w:sz="8" w:color="auto"/>
              <w:right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rPr>
              <w:t>359,953,752</w:t>
            </w:r>
          </w:p>
        </w:tc>
      </w:tr>
      <w:tr>
        <w:trPr>
          <w:trHeight w:val="171"/>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Votes Against</w:t>
            </w:r>
          </w:p>
        </w:tc>
        <w:tc>
          <w:tcPr>
            <w:tcW w:w="1580" w:type="dxa"/>
            <w:vAlign w:val="bottom"/>
            <w:tcBorders>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779,358</w:t>
            </w:r>
          </w:p>
        </w:tc>
      </w:tr>
      <w:tr>
        <w:trPr>
          <w:trHeight w:val="171"/>
        </w:trPr>
        <w:tc>
          <w:tcPr>
            <w:tcW w:w="1860" w:type="dxa"/>
            <w:vAlign w:val="bottom"/>
            <w:tcBorders>
              <w:left w:val="single" w:sz="8" w:color="auto"/>
              <w:bottom w:val="single" w:sz="8" w:color="auto"/>
              <w:right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Abstentions</w:t>
            </w:r>
          </w:p>
        </w:tc>
        <w:tc>
          <w:tcPr>
            <w:tcW w:w="1580" w:type="dxa"/>
            <w:vAlign w:val="bottom"/>
            <w:tcBorders>
              <w:bottom w:val="single" w:sz="8" w:color="auto"/>
              <w:right w:val="single" w:sz="8" w:color="auto"/>
            </w:tcBorders>
            <w:shd w:val="clear" w:color="auto" w:fill="BFE4FF"/>
          </w:tcPr>
          <w:p>
            <w:pPr>
              <w:jc w:val="right"/>
              <w:ind w:right="9"/>
              <w:spacing w:after="0"/>
              <w:rPr>
                <w:sz w:val="20"/>
                <w:szCs w:val="20"/>
                <w:color w:val="auto"/>
              </w:rPr>
            </w:pPr>
            <w:r>
              <w:rPr>
                <w:rFonts w:ascii="Times New Roman" w:cs="Times New Roman" w:eastAsia="Times New Roman" w:hAnsi="Times New Roman"/>
                <w:sz w:val="14"/>
                <w:szCs w:val="14"/>
                <w:color w:val="auto"/>
              </w:rPr>
              <w:t>327,067</w:t>
            </w:r>
          </w:p>
        </w:tc>
      </w:tr>
      <w:tr>
        <w:trPr>
          <w:trHeight w:val="171"/>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Broker Non-Votes</w:t>
            </w:r>
          </w:p>
        </w:tc>
        <w:tc>
          <w:tcPr>
            <w:tcW w:w="1580" w:type="dxa"/>
            <w:vAlign w:val="bottom"/>
            <w:tcBorders>
              <w:bottom w:val="single" w:sz="8" w:color="auto"/>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9,772,170</w:t>
            </w:r>
          </w:p>
        </w:tc>
      </w:tr>
    </w:tbl>
    <w:p>
      <w:pPr>
        <w:spacing w:after="0" w:line="800" w:lineRule="exact"/>
        <w:rPr>
          <w:sz w:val="20"/>
          <w:szCs w:val="20"/>
          <w:color w:val="auto"/>
        </w:rPr>
      </w:pPr>
    </w:p>
    <w:p>
      <w:pPr>
        <w:sectPr>
          <w:pgSz w:w="11900" w:h="16838" w:orient="portrait"/>
          <w:cols w:equalWidth="0" w:num="2">
            <w:col w:w="3680" w:space="260"/>
            <w:col w:w="7340"/>
          </w:cols>
          <w:pgMar w:left="300" w:top="921" w:right="319" w:bottom="1440" w:gutter="0" w:footer="0" w:header="0"/>
        </w:sectPr>
      </w:pPr>
    </w:p>
    <w:p>
      <w:pPr>
        <w:spacing w:after="0" w:line="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On June 25, 2026, the Company issued a press release (the “Press Release”) announcing the voting results from the Annual Meeting. A copy of the Press Release is attached hereto as Exhibit 99.1 and is incorporated by reference herein.</w:t>
      </w:r>
    </w:p>
    <w:p>
      <w:pPr>
        <w:spacing w:after="0" w:line="14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information contained in this Item 7.01 and the Press Release shall be considered “furnished” and shall not be deemed “filed” for purposes of Section 18 of the Securities Exchange Act of 1934, as amended, or otherwise subject to the liabilities of that Section or Sections 11 and 12(a)(2) of the Securities Act of 1933, as amended, nor shall it be deemed incorporated by reference into any reports or filings with the Securities and Exchange Commission, whether made before or after the date hereof, except as expressly set forth by specific reference in such a filing.</w:t>
      </w:r>
    </w:p>
    <w:p>
      <w:pPr>
        <w:spacing w:after="0" w:line="15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9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7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188"/>
        </w:trPr>
        <w:tc>
          <w:tcPr>
            <w:tcW w:w="760" w:type="dxa"/>
            <w:vAlign w:val="bottom"/>
          </w:tcPr>
          <w:p>
            <w:pPr>
              <w:spacing w:after="0"/>
              <w:rPr>
                <w:sz w:val="16"/>
                <w:szCs w:val="16"/>
                <w:color w:val="auto"/>
              </w:rPr>
            </w:pPr>
          </w:p>
        </w:tc>
        <w:tc>
          <w:tcPr>
            <w:tcW w:w="660" w:type="dxa"/>
            <w:vAlign w:val="bottom"/>
          </w:tcPr>
          <w:p>
            <w:pPr>
              <w:jc w:val="center"/>
              <w:spacing w:after="0"/>
              <w:rPr>
                <w:rFonts w:ascii="Times New Roman" w:cs="Times New Roman" w:eastAsia="Times New Roman" w:hAnsi="Times New Roman"/>
                <w:sz w:val="14"/>
                <w:szCs w:val="14"/>
                <w:color w:val="auto"/>
              </w:rPr>
            </w:pPr>
            <w:hyperlink r:id="rId11">
              <w:r>
                <w:rPr>
                  <w:rFonts w:ascii="Times New Roman" w:cs="Times New Roman" w:eastAsia="Times New Roman" w:hAnsi="Times New Roman"/>
                  <w:sz w:val="14"/>
                  <w:szCs w:val="14"/>
                  <w:color w:val="auto"/>
                </w:rPr>
                <w:t>10.1</w:t>
              </w:r>
            </w:hyperlink>
          </w:p>
        </w:tc>
        <w:tc>
          <w:tcPr>
            <w:tcW w:w="780" w:type="dxa"/>
            <w:vAlign w:val="bottom"/>
          </w:tcPr>
          <w:p>
            <w:pPr>
              <w:spacing w:after="0"/>
              <w:rPr>
                <w:sz w:val="16"/>
                <w:szCs w:val="16"/>
                <w:color w:val="auto"/>
              </w:rPr>
            </w:pPr>
          </w:p>
        </w:tc>
        <w:tc>
          <w:tcPr>
            <w:tcW w:w="9080" w:type="dxa"/>
            <w:vAlign w:val="bottom"/>
            <w:gridSpan w:val="2"/>
          </w:tcPr>
          <w:p>
            <w:pPr>
              <w:spacing w:after="0"/>
              <w:rPr>
                <w:rFonts w:ascii="Times New Roman" w:cs="Times New Roman" w:eastAsia="Times New Roman" w:hAnsi="Times New Roman"/>
                <w:sz w:val="14"/>
                <w:szCs w:val="14"/>
                <w:color w:val="auto"/>
              </w:rPr>
            </w:pPr>
            <w:hyperlink r:id="rId11">
              <w:r>
                <w:rPr>
                  <w:rFonts w:ascii="Times New Roman" w:cs="Times New Roman" w:eastAsia="Times New Roman" w:hAnsi="Times New Roman"/>
                  <w:sz w:val="14"/>
                  <w:szCs w:val="14"/>
                  <w:color w:val="auto"/>
                </w:rPr>
                <w:t>CoStar Group, Inc. 2026 Employee Stock Purchase Plan (filed as Appendix B to CoStar Group, Inc.’s Definitive Proxy Statement on Schedule 14A</w:t>
              </w:r>
            </w:hyperlink>
          </w:p>
        </w:tc>
      </w:tr>
      <w:tr>
        <w:trPr>
          <w:trHeight w:val="184"/>
        </w:trPr>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80" w:type="dxa"/>
            <w:vAlign w:val="bottom"/>
            <w:gridSpan w:val="2"/>
          </w:tcPr>
          <w:p>
            <w:pPr>
              <w:spacing w:after="0"/>
              <w:rPr>
                <w:rFonts w:ascii="Times New Roman" w:cs="Times New Roman" w:eastAsia="Times New Roman" w:hAnsi="Times New Roman"/>
                <w:sz w:val="14"/>
                <w:szCs w:val="14"/>
                <w:color w:val="auto"/>
              </w:rPr>
            </w:pPr>
            <w:hyperlink r:id="rId11">
              <w:r>
                <w:rPr>
                  <w:rFonts w:ascii="Times New Roman" w:cs="Times New Roman" w:eastAsia="Times New Roman" w:hAnsi="Times New Roman"/>
                  <w:sz w:val="14"/>
                  <w:szCs w:val="14"/>
                  <w:color w:val="auto"/>
                </w:rPr>
                <w:t>filed April 30, 2026, File No. 000-24531, and incorporated herein by reference).</w:t>
              </w:r>
            </w:hyperlink>
          </w:p>
        </w:tc>
      </w:tr>
      <w:tr>
        <w:trPr>
          <w:trHeight w:val="202"/>
        </w:trPr>
        <w:tc>
          <w:tcPr>
            <w:tcW w:w="1420" w:type="dxa"/>
            <w:vAlign w:val="bottom"/>
            <w:gridSpan w:val="2"/>
          </w:tcPr>
          <w:p>
            <w:pPr>
              <w:jc w:val="center"/>
              <w:ind w:left="689"/>
              <w:spacing w:after="0"/>
              <w:rPr>
                <w:sz w:val="20"/>
                <w:szCs w:val="20"/>
                <w:color w:val="auto"/>
              </w:rPr>
            </w:pPr>
            <w:r>
              <w:rPr>
                <w:rFonts w:ascii="Times New Roman" w:cs="Times New Roman" w:eastAsia="Times New Roman" w:hAnsi="Times New Roman"/>
                <w:sz w:val="14"/>
                <w:szCs w:val="14"/>
                <w:color w:val="auto"/>
              </w:rPr>
              <w:t>99.1</w:t>
            </w:r>
          </w:p>
        </w:tc>
        <w:tc>
          <w:tcPr>
            <w:tcW w:w="780" w:type="dxa"/>
            <w:vAlign w:val="bottom"/>
          </w:tcPr>
          <w:p>
            <w:pPr>
              <w:spacing w:after="0"/>
              <w:rPr>
                <w:sz w:val="17"/>
                <w:szCs w:val="17"/>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CoStar Group, Inc. Press Release dated June 25, 2026.</w:t>
            </w:r>
          </w:p>
        </w:tc>
      </w:tr>
      <w:tr>
        <w:trPr>
          <w:trHeight w:val="202"/>
        </w:trPr>
        <w:tc>
          <w:tcPr>
            <w:tcW w:w="1420" w:type="dxa"/>
            <w:vAlign w:val="bottom"/>
            <w:gridSpan w:val="2"/>
          </w:tcPr>
          <w:p>
            <w:pPr>
              <w:jc w:val="center"/>
              <w:ind w:left="689"/>
              <w:spacing w:after="0"/>
              <w:rPr>
                <w:sz w:val="20"/>
                <w:szCs w:val="20"/>
                <w:color w:val="auto"/>
              </w:rPr>
            </w:pPr>
            <w:r>
              <w:rPr>
                <w:rFonts w:ascii="Times New Roman" w:cs="Times New Roman" w:eastAsia="Times New Roman" w:hAnsi="Times New Roman"/>
                <w:sz w:val="14"/>
                <w:szCs w:val="14"/>
                <w:color w:val="auto"/>
              </w:rPr>
              <w:t>104</w:t>
            </w:r>
          </w:p>
        </w:tc>
        <w:tc>
          <w:tcPr>
            <w:tcW w:w="780" w:type="dxa"/>
            <w:vAlign w:val="bottom"/>
          </w:tcPr>
          <w:p>
            <w:pPr>
              <w:spacing w:after="0"/>
              <w:rPr>
                <w:sz w:val="17"/>
                <w:szCs w:val="17"/>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r>
        <w:trPr>
          <w:trHeight w:val="776"/>
        </w:trPr>
        <w:tc>
          <w:tcPr>
            <w:tcW w:w="7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type w:val="continuous"/>
        </w:sectPr>
      </w:pPr>
    </w:p>
    <w:bookmarkStart w:id="3" w:name="page4"/>
    <w:bookmarkEnd w:id="3"/>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COSTAR GROUP, INC.</w:t>
            </w:r>
          </w:p>
        </w:tc>
      </w:tr>
      <w:tr>
        <w:trPr>
          <w:trHeight w:val="378"/>
        </w:trPr>
        <w:tc>
          <w:tcPr>
            <w:tcW w:w="4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9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June 25, 2026</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Gene Boxer</w:t>
            </w:r>
          </w:p>
        </w:tc>
      </w:tr>
      <w:tr>
        <w:trPr>
          <w:trHeight w:val="358"/>
        </w:trPr>
        <w:tc>
          <w:tcPr>
            <w:tcW w:w="4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Gene Boxer</w:t>
            </w:r>
          </w:p>
        </w:tc>
      </w:tr>
      <w:tr>
        <w:trPr>
          <w:trHeight w:val="184"/>
        </w:trPr>
        <w:tc>
          <w:tcPr>
            <w:tcW w:w="4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General Counsel and Corporate Secretary</w:t>
            </w:r>
          </w:p>
        </w:tc>
      </w:tr>
    </w:tbl>
    <w:p>
      <w:pPr>
        <w:sectPr>
          <w:pgSz w:w="11900" w:h="16838" w:orient="portrait"/>
          <w:cols w:equalWidth="0" w:num="1">
            <w:col w:w="10580"/>
          </w:cols>
          <w:pgMar w:left="320" w:top="728" w:right="9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1" Type="http://schemas.openxmlformats.org/officeDocument/2006/relationships/hyperlink" Target="https://www.sec.gov/ix?doc=/Archives/edgar/data/1057352/000119312526197205/d903159ddef14a.htm#toc903159_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2026-06-25T08:02:32Z</dcterms:created>
  <dcterms:modified xsi:type="dcterms:W3CDTF">2026-06-25T08:02:32Z</dcterms:modified>
</cp:coreProperties>
</file>