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421640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455930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19,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COSTAR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2"/>
          </w:tcPr>
          <w:p>
            <w:pPr>
              <w:jc w:val="center"/>
              <w:ind w:right="2420"/>
              <w:spacing w:after="0"/>
              <w:rPr>
                <w:sz w:val="20"/>
                <w:szCs w:val="20"/>
                <w:color w:val="auto"/>
              </w:rPr>
            </w:pPr>
            <w:r>
              <w:rPr>
                <w:rFonts w:ascii="Arial" w:cs="Arial" w:eastAsia="Arial" w:hAnsi="Arial"/>
                <w:sz w:val="18"/>
                <w:szCs w:val="18"/>
                <w:color w:val="auto"/>
                <w:w w:val="89"/>
              </w:rPr>
              <w:t>Delaware</w:t>
            </w:r>
          </w:p>
        </w:tc>
        <w:tc>
          <w:tcPr>
            <w:tcW w:w="246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0"/>
              </w:rPr>
              <w:t>0-24531</w:t>
            </w:r>
          </w:p>
        </w:tc>
        <w:tc>
          <w:tcPr>
            <w:tcW w:w="41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9"/>
              </w:rPr>
              <w:t>52-2091509</w:t>
            </w:r>
          </w:p>
        </w:tc>
      </w:tr>
      <w:tr>
        <w:trPr>
          <w:trHeight w:val="208"/>
        </w:trPr>
        <w:tc>
          <w:tcPr>
            <w:tcW w:w="4800" w:type="dxa"/>
            <w:vAlign w:val="bottom"/>
            <w:gridSpan w:val="3"/>
          </w:tcPr>
          <w:p>
            <w:pPr>
              <w:jc w:val="center"/>
              <w:ind w:right="1360"/>
              <w:spacing w:after="0"/>
              <w:rPr>
                <w:sz w:val="20"/>
                <w:szCs w:val="20"/>
                <w:color w:val="auto"/>
              </w:rPr>
            </w:pPr>
            <w:r>
              <w:rPr>
                <w:rFonts w:ascii="Arial" w:cs="Arial" w:eastAsia="Arial" w:hAnsi="Arial"/>
                <w:sz w:val="18"/>
                <w:szCs w:val="18"/>
                <w:color w:val="auto"/>
                <w:w w:val="91"/>
              </w:rPr>
              <w:t>(State or other jurisdiction</w:t>
            </w:r>
          </w:p>
        </w:tc>
        <w:tc>
          <w:tcPr>
            <w:tcW w:w="2460" w:type="dxa"/>
            <w:vAlign w:val="bottom"/>
          </w:tcPr>
          <w:p>
            <w:pPr>
              <w:jc w:val="center"/>
              <w:ind w:right="510"/>
              <w:spacing w:after="0"/>
              <w:rPr>
                <w:sz w:val="20"/>
                <w:szCs w:val="20"/>
                <w:color w:val="auto"/>
              </w:rPr>
            </w:pPr>
            <w:r>
              <w:rPr>
                <w:rFonts w:ascii="Arial" w:cs="Arial" w:eastAsia="Arial" w:hAnsi="Arial"/>
                <w:sz w:val="18"/>
                <w:szCs w:val="18"/>
                <w:color w:val="auto"/>
                <w:w w:val="93"/>
              </w:rPr>
              <w:t>(Commission</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jc w:val="center"/>
              <w:ind w:right="830"/>
              <w:spacing w:after="0"/>
              <w:rPr>
                <w:sz w:val="20"/>
                <w:szCs w:val="20"/>
                <w:color w:val="auto"/>
              </w:rPr>
            </w:pPr>
            <w:r>
              <w:rPr>
                <w:rFonts w:ascii="Arial" w:cs="Arial" w:eastAsia="Arial" w:hAnsi="Arial"/>
                <w:sz w:val="18"/>
                <w:szCs w:val="18"/>
                <w:color w:val="auto"/>
                <w:w w:val="93"/>
              </w:rPr>
              <w:t>(IRS Employer</w:t>
            </w:r>
          </w:p>
        </w:tc>
      </w:tr>
      <w:tr>
        <w:trPr>
          <w:trHeight w:val="230"/>
        </w:trPr>
        <w:tc>
          <w:tcPr>
            <w:tcW w:w="1060" w:type="dxa"/>
            <w:vAlign w:val="bottom"/>
          </w:tcPr>
          <w:p>
            <w:pPr>
              <w:spacing w:after="0"/>
              <w:rPr>
                <w:sz w:val="19"/>
                <w:szCs w:val="19"/>
                <w:color w:val="auto"/>
              </w:rPr>
            </w:pPr>
          </w:p>
        </w:tc>
        <w:tc>
          <w:tcPr>
            <w:tcW w:w="3740" w:type="dxa"/>
            <w:vAlign w:val="bottom"/>
            <w:gridSpan w:val="2"/>
          </w:tcPr>
          <w:p>
            <w:pPr>
              <w:jc w:val="center"/>
              <w:ind w:right="2400"/>
              <w:spacing w:after="0"/>
              <w:rPr>
                <w:sz w:val="20"/>
                <w:szCs w:val="20"/>
                <w:color w:val="auto"/>
              </w:rPr>
            </w:pPr>
            <w:r>
              <w:rPr>
                <w:rFonts w:ascii="Arial" w:cs="Arial" w:eastAsia="Arial" w:hAnsi="Arial"/>
                <w:sz w:val="18"/>
                <w:szCs w:val="18"/>
                <w:color w:val="auto"/>
                <w:w w:val="93"/>
              </w:rPr>
              <w:t>of incorporation)</w:t>
            </w:r>
          </w:p>
        </w:tc>
        <w:tc>
          <w:tcPr>
            <w:tcW w:w="2460" w:type="dxa"/>
            <w:vAlign w:val="bottom"/>
          </w:tcPr>
          <w:p>
            <w:pPr>
              <w:jc w:val="center"/>
              <w:ind w:right="510"/>
              <w:spacing w:after="0"/>
              <w:rPr>
                <w:sz w:val="20"/>
                <w:szCs w:val="20"/>
                <w:color w:val="auto"/>
              </w:rPr>
            </w:pPr>
            <w:r>
              <w:rPr>
                <w:rFonts w:ascii="Arial" w:cs="Arial" w:eastAsia="Arial" w:hAnsi="Arial"/>
                <w:sz w:val="18"/>
                <w:szCs w:val="18"/>
                <w:color w:val="auto"/>
                <w:w w:val="94"/>
              </w:rPr>
              <w:t>File Number)</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00" w:type="dxa"/>
            <w:vAlign w:val="bottom"/>
          </w:tcPr>
          <w:p>
            <w:pPr>
              <w:jc w:val="center"/>
              <w:ind w:right="830"/>
              <w:spacing w:after="0"/>
              <w:rPr>
                <w:sz w:val="20"/>
                <w:szCs w:val="20"/>
                <w:color w:val="auto"/>
              </w:rPr>
            </w:pPr>
            <w:r>
              <w:rPr>
                <w:rFonts w:ascii="Arial" w:cs="Arial" w:eastAsia="Arial" w:hAnsi="Arial"/>
                <w:sz w:val="18"/>
                <w:szCs w:val="18"/>
                <w:color w:val="auto"/>
                <w:w w:val="95"/>
              </w:rPr>
              <w:t>Identification No.)</w:t>
            </w:r>
          </w:p>
        </w:tc>
      </w:tr>
      <w:tr>
        <w:trPr>
          <w:trHeight w:val="390"/>
        </w:trPr>
        <w:tc>
          <w:tcPr>
            <w:tcW w:w="4800" w:type="dxa"/>
            <w:vAlign w:val="bottom"/>
            <w:gridSpan w:val="3"/>
          </w:tcPr>
          <w:p>
            <w:pPr>
              <w:jc w:val="center"/>
              <w:ind w:left="550"/>
              <w:spacing w:after="0"/>
              <w:rPr>
                <w:sz w:val="20"/>
                <w:szCs w:val="20"/>
                <w:color w:val="auto"/>
              </w:rPr>
            </w:pPr>
            <w:r>
              <w:rPr>
                <w:rFonts w:ascii="Arial" w:cs="Arial" w:eastAsia="Arial" w:hAnsi="Arial"/>
                <w:sz w:val="18"/>
                <w:szCs w:val="18"/>
                <w:color w:val="auto"/>
                <w:w w:val="89"/>
              </w:rPr>
              <w:t>2 Bethesda Metro Center, Bethesda, Maryland</w:t>
            </w:r>
          </w:p>
        </w:tc>
        <w:tc>
          <w:tcPr>
            <w:tcW w:w="2460" w:type="dxa"/>
            <w:vAlign w:val="bottom"/>
          </w:tcPr>
          <w:p>
            <w:pPr>
              <w:spacing w:after="0"/>
              <w:rPr>
                <w:sz w:val="24"/>
                <w:szCs w:val="24"/>
                <w:color w:val="auto"/>
              </w:rPr>
            </w:pPr>
          </w:p>
        </w:tc>
        <w:tc>
          <w:tcPr>
            <w:tcW w:w="4160" w:type="dxa"/>
            <w:vAlign w:val="bottom"/>
            <w:gridSpan w:val="3"/>
          </w:tcPr>
          <w:p>
            <w:pPr>
              <w:jc w:val="right"/>
              <w:ind w:right="2410"/>
              <w:spacing w:after="0"/>
              <w:rPr>
                <w:sz w:val="20"/>
                <w:szCs w:val="20"/>
                <w:color w:val="auto"/>
              </w:rPr>
            </w:pPr>
            <w:r>
              <w:rPr>
                <w:rFonts w:ascii="Arial" w:cs="Arial" w:eastAsia="Arial" w:hAnsi="Arial"/>
                <w:sz w:val="18"/>
                <w:szCs w:val="18"/>
                <w:color w:val="auto"/>
              </w:rPr>
              <w:t>20814</w:t>
            </w:r>
          </w:p>
        </w:tc>
      </w:tr>
      <w:tr>
        <w:trPr>
          <w:trHeight w:val="20"/>
        </w:trPr>
        <w:tc>
          <w:tcPr>
            <w:tcW w:w="10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160" w:type="dxa"/>
            <w:vAlign w:val="bottom"/>
            <w:gridSpan w:val="3"/>
          </w:tcPr>
          <w:p>
            <w:pPr>
              <w:jc w:val="center"/>
              <w:ind w:right="119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(301) 215-8300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9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40.14d-2(b))</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72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567055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0" w:lineRule="exact"/>
        <w:rPr>
          <w:sz w:val="20"/>
          <w:szCs w:val="20"/>
          <w:color w:val="auto"/>
        </w:rPr>
      </w:pPr>
    </w:p>
    <w:p>
      <w:pPr>
        <w:ind w:right="420"/>
        <w:spacing w:after="0" w:line="306" w:lineRule="auto"/>
        <w:rPr>
          <w:sz w:val="20"/>
          <w:szCs w:val="20"/>
          <w:color w:val="auto"/>
        </w:rPr>
      </w:pPr>
      <w:r>
        <w:rPr>
          <w:rFonts w:ascii="Arial" w:cs="Arial" w:eastAsia="Arial" w:hAnsi="Arial"/>
          <w:sz w:val="17"/>
          <w:szCs w:val="17"/>
          <w:color w:val="auto"/>
        </w:rPr>
        <w:t>On October 19, 2005, CoStar Group, Inc. announced its financial results for the quarter ended September 30, 2005. The full text of the press release (the “Press Release”) issued in connection with the announcement is attached as Exhibit 99.1 to this Current Report on Form 8-K.</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in the Press Release shall be considered “furnished” pursuant to this Current Report on Form 8-K and shall not be deemed “filed” for purposes of Section 18 of the Securities Exchange Act of 1934, as amended (the “Exchange Act”), or otherwise subject to the liabilities of that Section or Sections 11 and 12(a)(2) of the Securities Act of 1933, as amended, nor shall it be deemed incorporated by reference into any of the Registrant’s reports or filings with the Securities and Exchange Commission, whether made before or after the date hereof, except as expressly set forth by specific reference in such a filing.</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40" w:firstLine="224"/>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COSTAR GROUP, INC.</w:t>
            </w:r>
          </w:p>
        </w:tc>
        <w:tc>
          <w:tcPr>
            <w:tcW w:w="1600" w:type="dxa"/>
            <w:vAlign w:val="bottom"/>
          </w:tcPr>
          <w:p>
            <w:pPr>
              <w:spacing w:after="0"/>
              <w:rPr>
                <w:sz w:val="19"/>
                <w:szCs w:val="19"/>
                <w:color w:val="auto"/>
              </w:rPr>
            </w:pPr>
          </w:p>
        </w:tc>
      </w:tr>
      <w:tr>
        <w:trPr>
          <w:trHeight w:val="430"/>
        </w:trPr>
        <w:tc>
          <w:tcPr>
            <w:tcW w:w="3400" w:type="dxa"/>
            <w:vAlign w:val="bottom"/>
          </w:tcPr>
          <w:p>
            <w:pPr>
              <w:spacing w:after="0"/>
              <w:rPr>
                <w:sz w:val="20"/>
                <w:szCs w:val="20"/>
                <w:color w:val="auto"/>
              </w:rPr>
            </w:pPr>
            <w:r>
              <w:rPr>
                <w:rFonts w:ascii="Arial" w:cs="Arial" w:eastAsia="Arial" w:hAnsi="Arial"/>
                <w:sz w:val="18"/>
                <w:szCs w:val="18"/>
                <w:color w:val="auto"/>
              </w:rPr>
              <w:t>Date: October 19, 2005</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By: /s/ Frank A. Carchedi</w:t>
            </w:r>
          </w:p>
        </w:tc>
        <w:tc>
          <w:tcPr>
            <w:tcW w:w="1600" w:type="dxa"/>
            <w:vAlign w:val="bottom"/>
          </w:tcPr>
          <w:p>
            <w:pPr>
              <w:spacing w:after="0"/>
              <w:rPr>
                <w:sz w:val="24"/>
                <w:szCs w:val="24"/>
                <w:color w:val="auto"/>
              </w:rPr>
            </w:pPr>
          </w:p>
        </w:tc>
      </w:tr>
      <w:tr>
        <w:trPr>
          <w:trHeight w:val="194"/>
        </w:trPr>
        <w:tc>
          <w:tcPr>
            <w:tcW w:w="3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Frank A. Carchedi</w:t>
            </w:r>
          </w:p>
        </w:tc>
        <w:tc>
          <w:tcPr>
            <w:tcW w:w="1600" w:type="dxa"/>
            <w:vAlign w:val="bottom"/>
          </w:tcPr>
          <w:p>
            <w:pPr>
              <w:spacing w:after="0"/>
              <w:rPr>
                <w:sz w:val="16"/>
                <w:szCs w:val="16"/>
                <w:color w:val="auto"/>
              </w:rPr>
            </w:pPr>
          </w:p>
        </w:tc>
      </w:tr>
      <w:tr>
        <w:trPr>
          <w:trHeight w:val="230"/>
        </w:trPr>
        <w:tc>
          <w:tcPr>
            <w:tcW w:w="3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600" w:type="dxa"/>
            <w:vAlign w:val="bottom"/>
          </w:tcPr>
          <w:p>
            <w:pPr>
              <w:spacing w:after="0"/>
              <w:rPr>
                <w:sz w:val="19"/>
                <w:szCs w:val="19"/>
                <w:color w:val="auto"/>
              </w:rPr>
            </w:pPr>
          </w:p>
        </w:tc>
      </w:tr>
      <w:tr>
        <w:trPr>
          <w:trHeight w:val="403"/>
        </w:trPr>
        <w:tc>
          <w:tcPr>
            <w:tcW w:w="3400" w:type="dxa"/>
            <w:vAlign w:val="bottom"/>
          </w:tcPr>
          <w:p>
            <w:pPr>
              <w:spacing w:after="0"/>
              <w:rPr>
                <w:sz w:val="24"/>
                <w:szCs w:val="24"/>
                <w:color w:val="auto"/>
              </w:rPr>
            </w:pPr>
          </w:p>
        </w:tc>
        <w:tc>
          <w:tcPr>
            <w:tcW w:w="6420" w:type="dxa"/>
            <w:vAlign w:val="bottom"/>
            <w:gridSpan w:val="2"/>
          </w:tcPr>
          <w:p>
            <w:pPr>
              <w:jc w:val="right"/>
              <w:ind w:right="3970"/>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24"/>
                <w:szCs w:val="24"/>
                <w:color w:val="auto"/>
              </w:rPr>
            </w:pPr>
          </w:p>
        </w:tc>
      </w:tr>
      <w:tr>
        <w:trPr>
          <w:trHeight w:val="225"/>
        </w:trPr>
        <w:tc>
          <w:tcPr>
            <w:tcW w:w="34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Exhibit Index</w:t>
      </w:r>
    </w:p>
    <w:p>
      <w:pPr>
        <w:spacing w:after="0" w:line="1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19, 2005.</w:t>
      </w:r>
    </w:p>
    <w:p>
      <w:pPr>
        <w:spacing w:after="0" w:line="19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362" w:right="1440" w:bottom="1440" w:gutter="0" w:footer="0" w:header="0"/>
        </w:sectPr>
      </w:pPr>
    </w:p>
    <w:bookmarkStart w:id="5" w:name="page6"/>
    <w:bookmarkEnd w:id="5"/>
    <w:p>
      <w:pPr>
        <w:jc w:val="right"/>
        <w:ind w:right="8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417320" cy="972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7320" cy="97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Analysts/Investors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Frank A. Carchedi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CoStar Group, Inc.</w:t>
      </w:r>
    </w:p>
    <w:p>
      <w:pPr>
        <w:spacing w:after="0" w:line="8" w:lineRule="exact"/>
        <w:rPr>
          <w:sz w:val="20"/>
          <w:szCs w:val="20"/>
          <w:color w:val="auto"/>
        </w:rPr>
      </w:pPr>
    </w:p>
    <w:p>
      <w:pPr>
        <w:ind w:right="9880" w:firstLine="8"/>
        <w:spacing w:after="0" w:line="321" w:lineRule="auto"/>
        <w:tabs>
          <w:tab w:leader="none" w:pos="433" w:val="left"/>
        </w:tabs>
        <w:numPr>
          <w:ilvl w:val="0"/>
          <w:numId w:val="1"/>
        </w:numPr>
        <w:rPr>
          <w:rFonts w:ascii="Arial" w:cs="Arial" w:eastAsia="Arial" w:hAnsi="Arial"/>
          <w:sz w:val="16"/>
          <w:szCs w:val="16"/>
          <w:color w:val="auto"/>
        </w:rPr>
      </w:pPr>
      <w:r>
        <w:rPr>
          <w:rFonts w:ascii="Arial" w:cs="Arial" w:eastAsia="Arial" w:hAnsi="Arial"/>
          <w:sz w:val="16"/>
          <w:szCs w:val="16"/>
          <w:color w:val="auto"/>
        </w:rPr>
        <w:t>215-8276 fcarchedi@costar.com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Jane Bryant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Director of Marketing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CoStar Group, Inc.</w:t>
      </w:r>
    </w:p>
    <w:p>
      <w:pPr>
        <w:spacing w:after="0" w:line="8" w:lineRule="exact"/>
        <w:rPr>
          <w:sz w:val="20"/>
          <w:szCs w:val="20"/>
          <w:color w:val="auto"/>
        </w:rPr>
      </w:pPr>
    </w:p>
    <w:p>
      <w:pPr>
        <w:ind w:right="10040" w:firstLine="8"/>
        <w:spacing w:after="0" w:line="321" w:lineRule="auto"/>
        <w:tabs>
          <w:tab w:leader="none" w:pos="433" w:val="left"/>
        </w:tabs>
        <w:numPr>
          <w:ilvl w:val="0"/>
          <w:numId w:val="2"/>
        </w:numPr>
        <w:rPr>
          <w:rFonts w:ascii="Arial" w:cs="Arial" w:eastAsia="Arial" w:hAnsi="Arial"/>
          <w:sz w:val="16"/>
          <w:szCs w:val="16"/>
          <w:color w:val="auto"/>
        </w:rPr>
      </w:pPr>
      <w:r>
        <w:rPr>
          <w:rFonts w:ascii="Arial" w:cs="Arial" w:eastAsia="Arial" w:hAnsi="Arial"/>
          <w:sz w:val="16"/>
          <w:szCs w:val="16"/>
          <w:color w:val="auto"/>
        </w:rPr>
        <w:t>280-3891 jbryant@costar.com</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CoStar Group, Inc. Announces Third Quarter 2005 Results</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Company Consolidates Research Centers, Reports $2.2 Million Restructuring Charge and Earnings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Excess of Expectations</w:t>
      </w:r>
    </w:p>
    <w:p>
      <w:pPr>
        <w:spacing w:after="0" w:line="97"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b w:val="1"/>
          <w:bCs w:val="1"/>
          <w:color w:val="auto"/>
        </w:rPr>
        <w:t xml:space="preserve">BETHESDA, MD </w:t>
      </w:r>
      <w:r>
        <w:rPr>
          <w:rFonts w:ascii="Arial" w:cs="Arial" w:eastAsia="Arial" w:hAnsi="Arial"/>
          <w:sz w:val="18"/>
          <w:szCs w:val="18"/>
          <w:color w:val="auto"/>
        </w:rPr>
        <w:t>— October 19, 2005—CoStar Group, Inc. (NASDAQ: CSGP) revenues increased 20.0% in the third quarter of 2005 over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2004, the Company announced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312660" cy="1753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2660" cy="175387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 2004-2005 Quarterly Results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 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2004</w:t>
            </w:r>
          </w:p>
        </w:tc>
        <w:tc>
          <w:tcPr>
            <w:tcW w:w="1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8"/>
        </w:trPr>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Borders>
              <w:bottom w:val="single" w:sz="8" w:color="auto"/>
            </w:tcBorders>
          </w:tcPr>
          <w:p>
            <w:pPr>
              <w:jc w:val="right"/>
              <w:ind w:right="413"/>
              <w:spacing w:after="0" w:line="141" w:lineRule="exact"/>
              <w:rPr>
                <w:sz w:val="20"/>
                <w:szCs w:val="20"/>
                <w:color w:val="auto"/>
              </w:rPr>
            </w:pPr>
            <w:r>
              <w:rPr>
                <w:rFonts w:ascii="Arial" w:cs="Arial" w:eastAsia="Arial" w:hAnsi="Arial"/>
                <w:sz w:val="14"/>
                <w:szCs w:val="14"/>
                <w:b w:val="1"/>
                <w:bCs w:val="1"/>
                <w:color w:val="auto"/>
              </w:rPr>
              <w:t>Q1</w:t>
            </w:r>
          </w:p>
        </w:tc>
        <w:tc>
          <w:tcPr>
            <w:tcW w:w="108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b w:val="1"/>
                <w:bCs w:val="1"/>
                <w:color w:val="auto"/>
              </w:rPr>
              <w:t>Q2</w:t>
            </w:r>
          </w:p>
        </w:tc>
        <w:tc>
          <w:tcPr>
            <w:tcW w:w="1480" w:type="dxa"/>
            <w:vAlign w:val="bottom"/>
            <w:tcBorders>
              <w:bottom w:val="single" w:sz="8" w:color="auto"/>
            </w:tcBorders>
          </w:tcPr>
          <w:p>
            <w:pPr>
              <w:jc w:val="right"/>
              <w:ind w:right="416"/>
              <w:spacing w:after="0" w:line="141" w:lineRule="exact"/>
              <w:rPr>
                <w:sz w:val="20"/>
                <w:szCs w:val="20"/>
                <w:color w:val="auto"/>
              </w:rPr>
            </w:pPr>
            <w:r>
              <w:rPr>
                <w:rFonts w:ascii="Arial" w:cs="Arial" w:eastAsia="Arial" w:hAnsi="Arial"/>
                <w:sz w:val="14"/>
                <w:szCs w:val="14"/>
                <w:b w:val="1"/>
                <w:bCs w:val="1"/>
                <w:color w:val="auto"/>
              </w:rPr>
              <w:t>Q3</w:t>
            </w:r>
          </w:p>
        </w:tc>
        <w:tc>
          <w:tcPr>
            <w:tcW w:w="1100" w:type="dxa"/>
            <w:vAlign w:val="bottom"/>
            <w:tcBorders>
              <w:bottom w:val="single" w:sz="8" w:color="auto"/>
            </w:tcBorders>
          </w:tcPr>
          <w:p>
            <w:pPr>
              <w:jc w:val="right"/>
              <w:ind w:right="233"/>
              <w:spacing w:after="0" w:line="141" w:lineRule="exact"/>
              <w:rPr>
                <w:sz w:val="20"/>
                <w:szCs w:val="20"/>
                <w:color w:val="auto"/>
              </w:rPr>
            </w:pPr>
            <w:r>
              <w:rPr>
                <w:rFonts w:ascii="Arial" w:cs="Arial" w:eastAsia="Arial" w:hAnsi="Arial"/>
                <w:sz w:val="14"/>
                <w:szCs w:val="14"/>
                <w:b w:val="1"/>
                <w:bCs w:val="1"/>
                <w:color w:val="auto"/>
              </w:rPr>
              <w:t>Q4</w:t>
            </w:r>
          </w:p>
        </w:tc>
        <w:tc>
          <w:tcPr>
            <w:tcW w:w="440" w:type="dxa"/>
            <w:vAlign w:val="bottom"/>
          </w:tcPr>
          <w:p>
            <w:pPr>
              <w:spacing w:after="0"/>
              <w:rPr>
                <w:sz w:val="12"/>
                <w:szCs w:val="12"/>
                <w:color w:val="auto"/>
              </w:rPr>
            </w:pPr>
          </w:p>
        </w:tc>
        <w:tc>
          <w:tcPr>
            <w:tcW w:w="960" w:type="dxa"/>
            <w:vAlign w:val="bottom"/>
            <w:tcBorders>
              <w:bottom w:val="single" w:sz="8" w:color="auto"/>
            </w:tcBorders>
          </w:tcPr>
          <w:p>
            <w:pPr>
              <w:jc w:val="right"/>
              <w:ind w:right="408"/>
              <w:spacing w:after="0" w:line="141" w:lineRule="exact"/>
              <w:rPr>
                <w:sz w:val="20"/>
                <w:szCs w:val="20"/>
                <w:color w:val="auto"/>
              </w:rPr>
            </w:pPr>
            <w:r>
              <w:rPr>
                <w:rFonts w:ascii="Arial" w:cs="Arial" w:eastAsia="Arial" w:hAnsi="Arial"/>
                <w:sz w:val="14"/>
                <w:szCs w:val="14"/>
                <w:b w:val="1"/>
                <w:bCs w:val="1"/>
                <w:color w:val="auto"/>
              </w:rPr>
              <w:t>Q1</w:t>
            </w:r>
          </w:p>
        </w:tc>
        <w:tc>
          <w:tcPr>
            <w:tcW w:w="12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6"/>
              </w:rPr>
              <w:t>Q2</w:t>
            </w:r>
          </w:p>
        </w:tc>
        <w:tc>
          <w:tcPr>
            <w:tcW w:w="1040" w:type="dxa"/>
            <w:vAlign w:val="bottom"/>
            <w:tcBorders>
              <w:bottom w:val="single" w:sz="8" w:color="auto"/>
            </w:tcBorders>
            <w:gridSpan w:val="2"/>
          </w:tcPr>
          <w:p>
            <w:pPr>
              <w:ind w:left="560"/>
              <w:spacing w:after="0" w:line="141" w:lineRule="exact"/>
              <w:rPr>
                <w:sz w:val="20"/>
                <w:szCs w:val="20"/>
                <w:color w:val="auto"/>
              </w:rPr>
            </w:pPr>
            <w:r>
              <w:rPr>
                <w:rFonts w:ascii="Arial" w:cs="Arial" w:eastAsia="Arial" w:hAnsi="Arial"/>
                <w:sz w:val="14"/>
                <w:szCs w:val="14"/>
                <w:b w:val="1"/>
                <w:bCs w:val="1"/>
                <w:color w:val="auto"/>
              </w:rPr>
              <w:t>Q3</w:t>
            </w:r>
          </w:p>
        </w:tc>
      </w:tr>
      <w:tr>
        <w:trPr>
          <w:trHeight w:val="215"/>
        </w:trPr>
        <w:tc>
          <w:tcPr>
            <w:tcW w:w="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   26.3</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27.5</w:t>
            </w:r>
          </w:p>
        </w:tc>
        <w:tc>
          <w:tcPr>
            <w:tcW w:w="14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28.6</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   29.7</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31.3</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   32.9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34.3</w:t>
            </w:r>
          </w:p>
        </w:tc>
        <w:tc>
          <w:tcPr>
            <w:tcW w:w="80" w:type="dxa"/>
            <w:vAlign w:val="bottom"/>
            <w:shd w:val="clear" w:color="auto" w:fill="CCEEFF"/>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EBITDA</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4.5</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480" w:type="dxa"/>
            <w:vAlign w:val="bottom"/>
          </w:tcPr>
          <w:p>
            <w:pPr>
              <w:jc w:val="right"/>
              <w:ind w:right="216"/>
              <w:spacing w:after="0"/>
              <w:rPr>
                <w:sz w:val="20"/>
                <w:szCs w:val="20"/>
                <w:color w:val="auto"/>
              </w:rPr>
            </w:pPr>
            <w:r>
              <w:rPr>
                <w:rFonts w:ascii="Arial" w:cs="Arial" w:eastAsia="Arial" w:hAnsi="Arial"/>
                <w:sz w:val="18"/>
                <w:szCs w:val="18"/>
                <w:color w:val="auto"/>
              </w:rPr>
              <w:t>5.1</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4.2</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4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2.4</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5"/>
        </w:trPr>
        <w:tc>
          <w:tcPr>
            <w:tcW w:w="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0.08</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480" w:type="dxa"/>
            <w:vAlign w:val="bottom"/>
          </w:tcPr>
          <w:p>
            <w:pPr>
              <w:jc w:val="right"/>
              <w:ind w:right="216"/>
              <w:spacing w:after="0"/>
              <w:rPr>
                <w:sz w:val="20"/>
                <w:szCs w:val="20"/>
                <w:color w:val="auto"/>
              </w:rPr>
            </w:pPr>
            <w:r>
              <w:rPr>
                <w:rFonts w:ascii="Arial" w:cs="Arial" w:eastAsia="Arial" w:hAnsi="Arial"/>
                <w:sz w:val="18"/>
                <w:szCs w:val="18"/>
                <w:color w:val="auto"/>
              </w:rPr>
              <w:t>0.13</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color w:val="auto"/>
              </w:rPr>
              <w:t>0.05</w:t>
            </w: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0.06</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r>
      <w:tr>
        <w:trPr>
          <w:trHeight w:val="201"/>
        </w:trPr>
        <w:tc>
          <w:tcPr>
            <w:tcW w:w="8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outstanding</w:t>
            </w: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 diluted</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18.7</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4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18.9</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4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18.9</w:t>
            </w:r>
          </w:p>
        </w:tc>
        <w:tc>
          <w:tcPr>
            <w:tcW w:w="12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r>
      <w:tr>
        <w:trPr>
          <w:trHeight w:val="709"/>
        </w:trPr>
        <w:tc>
          <w:tcPr>
            <w:tcW w:w="8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00"/>
          </w:cols>
          <w:pgMar w:left="240" w:top="932" w:right="159" w:bottom="1440" w:gutter="0" w:footer="0" w:header="0"/>
        </w:sectPr>
      </w:pPr>
    </w:p>
    <w:bookmarkStart w:id="6" w:name="page7"/>
    <w:bookmarkEnd w:id="6"/>
    <w:p>
      <w:pPr>
        <w:ind w:right="40"/>
        <w:spacing w:after="0" w:line="262" w:lineRule="auto"/>
        <w:rPr>
          <w:sz w:val="20"/>
          <w:szCs w:val="20"/>
          <w:color w:val="auto"/>
        </w:rPr>
      </w:pPr>
      <w:r>
        <w:rPr>
          <w:rFonts w:ascii="Arial" w:cs="Arial" w:eastAsia="Arial" w:hAnsi="Arial"/>
          <w:sz w:val="18"/>
          <w:szCs w:val="18"/>
          <w:color w:val="auto"/>
        </w:rPr>
        <w:t>“Our third quarter 2005 financial results reflect strong subscription revenue growth in our core markets, while we focus on establishing new growth platforms for 2006,” stated CoStar Group President &amp; CEO Andrew C. Florance. “We are making solid progress on our expansion efforts as we have signed 175 companies in the course of the last 15 months in the 21 expansion markets.”</w:t>
      </w:r>
    </w:p>
    <w:p>
      <w:pPr>
        <w:spacing w:after="0" w:line="7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is aggressively expanding its geographical coverage within the United States and adding comprehensive retail coverage of the U.S. commercial real estate market.</w:t>
      </w:r>
    </w:p>
    <w:p>
      <w:pPr>
        <w:spacing w:after="0" w:line="6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the third quarter of 2005, the Company signed 63 top commercial real estate firms in expansion markets. Expansion market customers include such leading firms as Advantis/GVA, Carlson, CB Richard Ellis, Coldwell Banker Commercial NRT, Colliers Arnold, Cross &amp; Company, Commerce CRG, NAI/Rhode Ottmers &amp; Siegel, Staubach, Trammell Crow and Transwestern Commercial Services.</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opened six new markets during the third quarter of 2005, including Greensboro/Winston Salem, Greenville/Spartanburg, Providence, Salt Lake City, Toledo and Tulsa. CoStar’s coverage in these six markets represents 66,000 properties with 1.26 billion square feet representing 109 million square feet of space available. CoStar believes the databases released in these markets are the most comprehensive databases available in each of these markets. “The Company is focused on ensuring that each expansion market delivered meets the highest standards of quality even if that means slightly more pre-release work,” stated Florance. In total, CoStar has delivered 14 new markets within the past year with more than 122,700 properties combined and more than 2.6 billion square feet.</w:t>
      </w:r>
    </w:p>
    <w:p>
      <w:pPr>
        <w:spacing w:after="0" w:line="8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 addition to database growth associated with the new markets, the Company has seen unprecedented growth in the number of commercial properties listed for sale on the Company’s Web site. As of January 1, 2005, the Company had nearly 53,000 properties listed for sale in the United States. That number has soared 61% year to date to 85,200 properties listed for sale currently. For the markets CoStar covers, the company believes it now has the most commercial real estate for-sale listings in aggregate of any information service. The Company believes the increase is due to the greater exposure these listings receive now that all for-sale listings are available to all CoStar subscribers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374015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7" w:name="page8"/>
    <w:bookmarkEnd w:id="7"/>
    <w:p>
      <w:pPr>
        <w:ind w:right="40"/>
        <w:spacing w:after="0" w:line="262" w:lineRule="auto"/>
        <w:rPr>
          <w:sz w:val="20"/>
          <w:szCs w:val="20"/>
          <w:color w:val="auto"/>
        </w:rPr>
      </w:pPr>
      <w:r>
        <w:rPr>
          <w:rFonts w:ascii="Arial" w:cs="Arial" w:eastAsia="Arial" w:hAnsi="Arial"/>
          <w:sz w:val="18"/>
          <w:szCs w:val="18"/>
          <w:color w:val="auto"/>
        </w:rPr>
        <w:t>“We are very excited about our successes in growing our for-sale property database offerings,” said Florance. Based upon these successes, the Company intends to increase its presence in the “for-sale” listing product area in 2006. This market segment has historically been occupied by low-cost listing Web sites such as LoopNet.</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for the third quarter of 2005 were $34.3 million, increasing sequentially by 4.4% over the second quarter of 2005. “We continue to experience solid growth in our core U.S. subscription-based revenue, which increased by approximately 5% sequentially from the second quarter of 2005 to the third quarter of 2005. Our non-subscription revenue area, which accounts for only about 5% of total revenue, did not perform as well as expected and affected our overall top line results. We were pleased with our earnings results, which included the expected charge for the closing of our Mason, OH, office. Overall, we were ahead of our expectations for earnings for the third quarter,” stated Chief Financial Officer Frank A. Carchedi. “For the fourth quarter of 2005, we expect to achieve approximately 4.5% sequential revenue growth over the third quarter of 2005. Additionally, we expect fully diluted net income per share of approximately $0.15 for the fourth quarter of 2005.”</w:t>
      </w:r>
    </w:p>
    <w:p>
      <w:pPr>
        <w:spacing w:after="0" w:line="8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one-time pre-tax restructuring charge of $2.2 million, resulting from the closing of the Mason, OH, operation was recorded in the third quarter. This restructuring charge includes amounts for wages, severance, occupancy and other costs. The Company expects this to result in ongoing annual pre-tax savings of approximately $1.0 million.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2005, the Company had $124.8 million in cash, cash equivalents and short-term investments. The Company has no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color w:val="auto"/>
              </w:rPr>
              <w:t>For the Three Months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color w:val="auto"/>
              </w:rPr>
              <w:t>For the Nine Months</w:t>
            </w: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color w:val="auto"/>
              </w:rPr>
              <w:t>Ended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color w:val="auto"/>
              </w:rPr>
              <w:t>Ended September 30,</w:t>
            </w: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color w:val="auto"/>
              </w:rPr>
              <w:t>2005</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1" w:lineRule="exact"/>
              <w:rPr>
                <w:sz w:val="20"/>
                <w:szCs w:val="20"/>
                <w:color w:val="auto"/>
              </w:rPr>
            </w:pPr>
            <w:r>
              <w:rPr>
                <w:rFonts w:ascii="Arial" w:cs="Arial" w:eastAsia="Arial" w:hAnsi="Arial"/>
                <w:sz w:val="14"/>
                <w:szCs w:val="14"/>
                <w:color w:val="auto"/>
              </w:rPr>
              <w:t>2004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1" w:lineRule="exact"/>
              <w:rPr>
                <w:sz w:val="20"/>
                <w:szCs w:val="20"/>
                <w:color w:val="auto"/>
              </w:rPr>
            </w:pPr>
            <w:r>
              <w:rPr>
                <w:rFonts w:ascii="Arial" w:cs="Arial" w:eastAsia="Arial" w:hAnsi="Arial"/>
                <w:sz w:val="14"/>
                <w:szCs w:val="14"/>
                <w:color w:val="auto"/>
              </w:rPr>
              <w:t>2005</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1"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34,320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28,610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98,534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82,344</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Cost of revenues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11,001</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9,189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32,327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25,972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23,319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19,421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66,207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56,372</w:t>
            </w:r>
          </w:p>
        </w:tc>
        <w:tc>
          <w:tcPr>
            <w:tcW w:w="0" w:type="dxa"/>
            <w:vAlign w:val="bottom"/>
          </w:tcPr>
          <w:p>
            <w:pPr>
              <w:spacing w:after="0"/>
              <w:rPr>
                <w:sz w:val="1"/>
                <w:szCs w:val="1"/>
                <w:color w:val="auto"/>
              </w:rPr>
            </w:pPr>
          </w:p>
        </w:tc>
      </w:tr>
      <w:tr>
        <w:trPr>
          <w:trHeight w:val="430"/>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9,326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29,248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21,549</w:t>
            </w:r>
          </w:p>
        </w:tc>
        <w:tc>
          <w:tcPr>
            <w:tcW w:w="0" w:type="dxa"/>
            <w:vAlign w:val="bottom"/>
          </w:tcPr>
          <w:p>
            <w:pPr>
              <w:spacing w:after="0"/>
              <w:rPr>
                <w:sz w:val="1"/>
                <w:szCs w:val="1"/>
                <w:color w:val="auto"/>
              </w:rPr>
            </w:pPr>
          </w:p>
        </w:tc>
      </w:tr>
      <w:tr>
        <w:trPr>
          <w:trHeight w:val="215"/>
        </w:trPr>
        <w:tc>
          <w:tcPr>
            <w:tcW w:w="5800" w:type="dxa"/>
            <w:vAlign w:val="bottom"/>
          </w:tcPr>
          <w:p>
            <w:pPr>
              <w:ind w:left="200"/>
              <w:spacing w:after="0"/>
              <w:rPr>
                <w:sz w:val="20"/>
                <w:szCs w:val="20"/>
                <w:color w:val="auto"/>
              </w:rPr>
            </w:pPr>
            <w:r>
              <w:rPr>
                <w:rFonts w:ascii="Arial" w:cs="Arial" w:eastAsia="Arial" w:hAnsi="Arial"/>
                <w:sz w:val="18"/>
                <w:szCs w:val="18"/>
                <w:color w:val="auto"/>
              </w:rPr>
              <w:t>Software development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7,457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7,092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20,722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20,663</w:t>
            </w:r>
          </w:p>
        </w:tc>
        <w:tc>
          <w:tcPr>
            <w:tcW w:w="0" w:type="dxa"/>
            <w:vAlign w:val="bottom"/>
          </w:tcPr>
          <w:p>
            <w:pPr>
              <w:spacing w:after="0"/>
              <w:rPr>
                <w:sz w:val="1"/>
                <w:szCs w:val="1"/>
                <w:color w:val="auto"/>
              </w:rPr>
            </w:pPr>
          </w:p>
        </w:tc>
      </w:tr>
      <w:tr>
        <w:trPr>
          <w:trHeight w:val="215"/>
        </w:trPr>
        <w:tc>
          <w:tcPr>
            <w:tcW w:w="5800" w:type="dxa"/>
            <w:vAlign w:val="bottom"/>
          </w:tcPr>
          <w:p>
            <w:pPr>
              <w:ind w:left="200"/>
              <w:spacing w:after="0"/>
              <w:rPr>
                <w:sz w:val="20"/>
                <w:szCs w:val="20"/>
                <w:color w:val="auto"/>
              </w:rPr>
            </w:pPr>
            <w:r>
              <w:rPr>
                <w:rFonts w:ascii="Arial" w:cs="Arial" w:eastAsia="Arial" w:hAnsi="Arial"/>
                <w:sz w:val="18"/>
                <w:szCs w:val="18"/>
                <w:color w:val="auto"/>
              </w:rPr>
              <w:t>Restructuring charge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amortization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22,347</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17,465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63,004</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1,904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5,458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Income tax expense (benefit),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00" w:type="dxa"/>
            <w:vAlign w:val="bottom"/>
          </w:tcPr>
          <w:p>
            <w:pPr>
              <w:spacing w:after="0"/>
              <w:rPr>
                <w:sz w:val="20"/>
                <w:szCs w:val="20"/>
                <w:color w:val="auto"/>
              </w:rPr>
            </w:pPr>
            <w:r>
              <w:rPr>
                <w:rFonts w:ascii="Arial" w:cs="Arial" w:eastAsia="Arial" w:hAnsi="Arial"/>
                <w:sz w:val="18"/>
                <w:szCs w:val="18"/>
                <w:color w:val="auto"/>
              </w:rPr>
              <w:t>Weighted average outstanding shares — basic</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18,485</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18,247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18,390</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18,120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outstanding shares — diluted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19,092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18,898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18,945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18,792</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Non-GAAP Financial Measures with Net Income</w:t>
            </w: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Purchase amortization in cost of revenues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 amortization in operating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Depreciation and other amortization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1,454</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4,538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(2,255)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Income tax expense (benefit),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12,093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14,240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8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800" w:type="dxa"/>
            <w:vAlign w:val="bottom"/>
            <w:gridSpan w:val="3"/>
          </w:tcPr>
          <w:p>
            <w:pPr>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7"/>
        </w:trPr>
        <w:tc>
          <w:tcPr>
            <w:tcW w:w="9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36,807</w:t>
            </w:r>
          </w:p>
        </w:tc>
        <w:tc>
          <w:tcPr>
            <w:tcW w:w="0" w:type="dxa"/>
            <w:vAlign w:val="bottom"/>
          </w:tcPr>
          <w:p>
            <w:pPr>
              <w:spacing w:after="0"/>
              <w:rPr>
                <w:sz w:val="1"/>
                <w:szCs w:val="1"/>
                <w:color w:val="auto"/>
              </w:rPr>
            </w:pPr>
          </w:p>
        </w:tc>
      </w:tr>
      <w:tr>
        <w:trPr>
          <w:trHeight w:val="215"/>
        </w:trPr>
        <w:tc>
          <w:tcPr>
            <w:tcW w:w="92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96,754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80,262</w:t>
            </w: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5"/>
        </w:trPr>
        <w:tc>
          <w:tcPr>
            <w:tcW w:w="92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137,457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21,487</w:t>
            </w:r>
          </w:p>
        </w:tc>
        <w:tc>
          <w:tcPr>
            <w:tcW w:w="0" w:type="dxa"/>
            <w:vAlign w:val="bottom"/>
          </w:tcPr>
          <w:p>
            <w:pPr>
              <w:spacing w:after="0"/>
              <w:rPr>
                <w:sz w:val="1"/>
                <w:szCs w:val="1"/>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16,146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13,489</w:t>
            </w: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Intangible and other assets,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69,594</w:t>
            </w:r>
          </w:p>
        </w:tc>
        <w:tc>
          <w:tcPr>
            <w:tcW w:w="0" w:type="dxa"/>
            <w:vAlign w:val="bottom"/>
          </w:tcPr>
          <w:p>
            <w:pPr>
              <w:spacing w:after="0"/>
              <w:rPr>
                <w:sz w:val="1"/>
                <w:szCs w:val="1"/>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244,825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232,691</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15,374</w:t>
            </w:r>
          </w:p>
        </w:tc>
        <w:tc>
          <w:tcPr>
            <w:tcW w:w="5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430"/>
        </w:trPr>
        <w:tc>
          <w:tcPr>
            <w:tcW w:w="92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220,464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210,944</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244,825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232,691</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040"/>
        <w:spacing w:after="0" w:line="280" w:lineRule="auto"/>
        <w:rPr>
          <w:sz w:val="20"/>
          <w:szCs w:val="20"/>
          <w:color w:val="auto"/>
        </w:rPr>
      </w:pPr>
      <w:r>
        <w:rPr>
          <w:rFonts w:ascii="Arial" w:cs="Arial" w:eastAsia="Arial" w:hAnsi="Arial"/>
          <w:sz w:val="18"/>
          <w:szCs w:val="18"/>
          <w:b w:val="1"/>
          <w:bCs w:val="1"/>
          <w:color w:val="auto"/>
        </w:rPr>
        <w:t xml:space="preserve">Reconciliation of Non-GAAP Financial Measures with 2004-2005 Quarterly Results </w:t>
      </w:r>
      <w:r>
        <w:rPr>
          <w:rFonts w:ascii="Arial" w:cs="Arial" w:eastAsia="Arial" w:hAnsi="Arial"/>
          <w:sz w:val="18"/>
          <w:szCs w:val="18"/>
          <w:i w:val="1"/>
          <w:iCs w:val="1"/>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8"/>
        </w:trPr>
        <w:tc>
          <w:tcPr>
            <w:tcW w:w="3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540"/>
              <w:spacing w:after="0" w:line="141" w:lineRule="exact"/>
              <w:rPr>
                <w:sz w:val="20"/>
                <w:szCs w:val="20"/>
                <w:color w:val="auto"/>
              </w:rPr>
            </w:pPr>
            <w:r>
              <w:rPr>
                <w:rFonts w:ascii="Arial" w:cs="Arial" w:eastAsia="Arial" w:hAnsi="Arial"/>
                <w:sz w:val="14"/>
                <w:szCs w:val="14"/>
                <w:b w:val="1"/>
                <w:bCs w:val="1"/>
                <w:color w:val="auto"/>
              </w:rPr>
              <w:t>Q1</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740"/>
              <w:spacing w:after="0" w:line="141" w:lineRule="exact"/>
              <w:rPr>
                <w:sz w:val="20"/>
                <w:szCs w:val="20"/>
                <w:color w:val="auto"/>
              </w:rPr>
            </w:pPr>
            <w:r>
              <w:rPr>
                <w:rFonts w:ascii="Arial" w:cs="Arial" w:eastAsia="Arial" w:hAnsi="Arial"/>
                <w:sz w:val="14"/>
                <w:szCs w:val="14"/>
                <w:b w:val="1"/>
                <w:bCs w:val="1"/>
                <w:color w:val="auto"/>
              </w:rPr>
              <w:t>Q2</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520"/>
              <w:spacing w:after="0" w:line="141" w:lineRule="exact"/>
              <w:rPr>
                <w:sz w:val="20"/>
                <w:szCs w:val="20"/>
                <w:color w:val="auto"/>
              </w:rPr>
            </w:pPr>
            <w:r>
              <w:rPr>
                <w:rFonts w:ascii="Arial" w:cs="Arial" w:eastAsia="Arial" w:hAnsi="Arial"/>
                <w:sz w:val="14"/>
                <w:szCs w:val="14"/>
                <w:b w:val="1"/>
                <w:bCs w:val="1"/>
                <w:color w:val="auto"/>
              </w:rPr>
              <w:t>Q3</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rPr>
              <w:t>Q4</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500"/>
              <w:spacing w:after="0" w:line="141" w:lineRule="exact"/>
              <w:rPr>
                <w:sz w:val="20"/>
                <w:szCs w:val="20"/>
                <w:color w:val="auto"/>
              </w:rPr>
            </w:pPr>
            <w:r>
              <w:rPr>
                <w:rFonts w:ascii="Arial" w:cs="Arial" w:eastAsia="Arial" w:hAnsi="Arial"/>
                <w:sz w:val="14"/>
                <w:szCs w:val="14"/>
                <w:b w:val="1"/>
                <w:bCs w:val="1"/>
                <w:color w:val="auto"/>
              </w:rPr>
              <w:t>Q1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6"/>
              </w:rPr>
              <w:t>Q2</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Q3</w:t>
            </w:r>
          </w:p>
        </w:tc>
      </w:tr>
      <w:tr>
        <w:trPr>
          <w:trHeight w:val="215"/>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7"/>
              </w:rPr>
              <w:t>1.1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5"/>
        </w:trPr>
        <w:tc>
          <w:tcPr>
            <w:tcW w:w="3100" w:type="dxa"/>
            <w:vAlign w:val="bottom"/>
          </w:tcPr>
          <w:p>
            <w:pPr>
              <w:spacing w:after="0"/>
              <w:rPr>
                <w:sz w:val="20"/>
                <w:szCs w:val="20"/>
                <w:color w:val="auto"/>
              </w:rPr>
            </w:pPr>
            <w:r>
              <w:rPr>
                <w:rFonts w:ascii="Arial" w:cs="Arial" w:eastAsia="Arial" w:hAnsi="Arial"/>
                <w:sz w:val="18"/>
                <w:szCs w:val="18"/>
                <w:color w:val="auto"/>
              </w:rPr>
              <w:t>Purchase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175"/>
              <w:spacing w:after="0"/>
              <w:rPr>
                <w:sz w:val="20"/>
                <w:szCs w:val="20"/>
                <w:color w:val="auto"/>
              </w:rPr>
            </w:pPr>
            <w:r>
              <w:rPr>
                <w:rFonts w:ascii="Arial" w:cs="Arial" w:eastAsia="Arial" w:hAnsi="Arial"/>
                <w:sz w:val="18"/>
                <w:szCs w:val="18"/>
                <w:color w:val="auto"/>
                <w:w w:val="87"/>
              </w:rPr>
              <w:t>1.5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5"/>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other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7"/>
              </w:rPr>
              <w:t>1.5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5"/>
        </w:trPr>
        <w:tc>
          <w:tcPr>
            <w:tcW w:w="3100" w:type="dxa"/>
            <w:vAlign w:val="bottom"/>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5"/>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7"/>
              </w:rPr>
              <w:t>0.8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ind w:left="175"/>
              <w:spacing w:after="0"/>
              <w:rPr>
                <w:sz w:val="20"/>
                <w:szCs w:val="20"/>
                <w:color w:val="auto"/>
              </w:rPr>
            </w:pPr>
            <w:r>
              <w:rPr>
                <w:rFonts w:ascii="Arial" w:cs="Arial" w:eastAsia="Arial" w:hAnsi="Arial"/>
                <w:sz w:val="18"/>
                <w:szCs w:val="18"/>
                <w:color w:val="auto"/>
                <w:w w:val="87"/>
              </w:rPr>
              <w:t>4.2</w:t>
            </w:r>
          </w:p>
        </w:tc>
        <w:tc>
          <w:tcPr>
            <w:tcW w:w="320" w:type="dxa"/>
            <w:vAlign w:val="bottom"/>
          </w:tcPr>
          <w:p>
            <w:pPr>
              <w:spacing w:after="0"/>
              <w:rPr>
                <w:sz w:val="19"/>
                <w:szCs w:val="19"/>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2"/>
        </w:trPr>
        <w:tc>
          <w:tcPr>
            <w:tcW w:w="3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10" w:name="page11"/>
    <w:bookmarkEnd w:id="10"/>
    <w:p>
      <w:pPr>
        <w:ind w:right="20"/>
        <w:spacing w:after="0" w:line="272" w:lineRule="auto"/>
        <w:rPr>
          <w:sz w:val="20"/>
          <w:szCs w:val="20"/>
          <w:color w:val="auto"/>
        </w:rPr>
      </w:pPr>
      <w:r>
        <w:rPr>
          <w:rFonts w:ascii="Arial" w:cs="Arial" w:eastAsia="Arial" w:hAnsi="Arial"/>
          <w:sz w:val="17"/>
          <w:szCs w:val="17"/>
          <w:color w:val="auto"/>
        </w:rPr>
        <w:t xml:space="preserve">Management will conduct a conference call to discuss earnings results for the quarter ended September 30, 2005, and the financial outlook for 2005 at 11 a.m. EDT, Thursday, October 20, 2005. This conference call will be broadcast live over the Internet at </w:t>
      </w:r>
      <w:r>
        <w:rPr>
          <w:rFonts w:ascii="Arial" w:cs="Arial" w:eastAsia="Arial" w:hAnsi="Arial"/>
          <w:sz w:val="17"/>
          <w:szCs w:val="17"/>
          <w:u w:val="single" w:color="auto"/>
          <w:color w:val="auto"/>
        </w:rPr>
        <w:t>www.costar.com/corporate/investor</w:t>
      </w:r>
      <w:r>
        <w:rPr>
          <w:rFonts w:ascii="Arial" w:cs="Arial" w:eastAsia="Arial" w:hAnsi="Arial"/>
          <w:sz w:val="17"/>
          <w:szCs w:val="17"/>
          <w:color w:val="auto"/>
        </w:rPr>
        <w:t xml:space="preserve">. If you would like to join by telephone, please call (800) 329-4405 within the United States or (706) 634-0964 outside the United States. A telephonic replay of the conference call will be available two hours after the live call concludes through midnight on October 27, 2005. The replay telephone number is (800) 642-1687 within the United States or (706) 645-9291 outside the United States. Refer to Conference ID 9301713. The replay will also be available over the Internet at </w:t>
      </w:r>
      <w:r>
        <w:rPr>
          <w:rFonts w:ascii="Arial" w:cs="Arial" w:eastAsia="Arial" w:hAnsi="Arial"/>
          <w:sz w:val="17"/>
          <w:szCs w:val="17"/>
          <w:u w:val="single" w:color="auto"/>
          <w:color w:val="auto"/>
        </w:rPr>
        <w:t>www.costar.com/corporate/investor</w:t>
      </w:r>
      <w:r>
        <w:rPr>
          <w:rFonts w:ascii="Arial" w:cs="Arial" w:eastAsia="Arial" w:hAnsi="Arial"/>
          <w:sz w:val="17"/>
          <w:szCs w:val="17"/>
          <w:color w:val="auto"/>
        </w:rPr>
        <w:t xml:space="preserve"> for a period of time following the call.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CoStar Group, Inc.</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CoStar Group, Inc. (NASDAQ: CSGP) is the leading provider of information services to commercial real estate professionals in the United States and the United Kingdom. CoStar’s suite of services offers customers access via the Internet to the most comprehensive database of commercial real estate information on 59 major U.S. markets, London and the United Kingdom. Based in Bethesda, MD, the Company has approximately 1,000 employees throughout the United States and the United Kingdom, including the largest professional research organization in the industry.</w:t>
      </w:r>
    </w:p>
    <w:p>
      <w:pPr>
        <w:spacing w:after="0" w:line="58" w:lineRule="exact"/>
        <w:rPr>
          <w:sz w:val="20"/>
          <w:szCs w:val="20"/>
          <w:color w:val="auto"/>
        </w:rPr>
      </w:pPr>
    </w:p>
    <w:p>
      <w:pPr>
        <w:ind w:right="160"/>
        <w:spacing w:after="0" w:line="242" w:lineRule="auto"/>
        <w:rPr>
          <w:sz w:val="20"/>
          <w:szCs w:val="20"/>
          <w:color w:val="auto"/>
        </w:rPr>
      </w:pPr>
      <w:r>
        <w:rPr>
          <w:rFonts w:ascii="Arial" w:cs="Arial" w:eastAsia="Arial" w:hAnsi="Arial"/>
          <w:sz w:val="13"/>
          <w:szCs w:val="13"/>
          <w:color w:val="auto"/>
        </w:rPr>
        <w:t>This news release includes “forward-looking statements” including, without limitation, statements regarding CoStar’s expectations, beliefs, intentions or strategies regarding the future. These statements are subject to many assumptions, risks and uncertainties that could cause actual results to differ materially from those expressed or implied in the forward-looking statements. More information about potential factors that could cause actual results to differ materially from those discussed in the forward-looking statements include, but are not limited to, those stated in CoStar’s filings from time to time with the Securities and Exchange Commission, including CoStar’s Form 10-Q for the period ended June 30, 2005, under the heading “Risk Factors.” In addition to these statements, there can be no assurance that CoStar will establish new growth platforms for 2006, that CoStar will expand its geographical coverage within the United States and add comprehensive coverage of the retail segment of the U.S. commercial real estate market, that the CoStar databases released in the six new markets opened during the third quarter of 2005 are the most comprehensive databases available, that for the markets CoStar covers, CoStar has the most commercial real estate for-sale listings in aggregate of any information provider, that the increase in the number of for-sale listings within CoStar’s database is due to the greater exposure these listings receive now that all for-sale listings are available to all CoStar subscribers nationwide, that in 2006 CoStar will increase its presence in the for-sale listings product area, that revenue growth rates for the fourth quarter of 2005 will be as stated in this press release, that fourth quarter 2005 fully diluted net income per share will be as stated in this press release, or that the closing of the Mason, Ohio, operations will result in ongoing annual pre-tax savings as stated in this press release. All forward-looking statements are based on information available to CoStar on the date hereof, and CoStar assumes no obligation to update such statements.</w:t>
      </w:r>
    </w:p>
    <w:sectPr>
      <w:pgSz w:w="11900" w:h="16838" w:orient="portrait"/>
      <w:cols w:equalWidth="0" w:num="1">
        <w:col w:w="11400"/>
      </w:cols>
      <w:pgMar w:left="240" w:top="9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1"/>
    </w:lvl>
  </w:abstractNum>
  <w:abstractNum w:abstractNumId="1">
    <w:nsid w:val="66334873"/>
    <w:multiLevelType w:val="hybridMultilevel"/>
    <w:lvl w:ilvl="0">
      <w:lvlJc w:val="left"/>
      <w:lvlText w:val="(%1)"/>
      <w:numFmt w:val="decimal"/>
      <w:start w:val="30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2019-12-14T20:25:11Z</dcterms:created>
  <dcterms:modified xsi:type="dcterms:W3CDTF">2019-12-14T20:25:11Z</dcterms:modified>
</cp:coreProperties>
</file>