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pPr>
      <w:r>
        <w:rPr>
          <w:color w:val="000000"/>
        </w:rPr>
        <w:t> </w:t>
      </w:r>
      <w:r>
        <w:rPr>
          <w:rFonts w:ascii="Times New Roman;serif" w:hAnsi="Times New Roman;serif"/>
          <w:b/>
          <w:color w:val="000000"/>
          <w:sz w:val="36"/>
        </w:rPr>
        <w:t>FORM 10-Q</w:t>
      </w:r>
    </w:p>
    <w:tbl>
      <w:tblPr>
        <w:tblW w:w="5996" w:type="dxa"/>
        <w:jc w:val="center"/>
        <w:tblInd w:w="0" w:type="dxa"/>
        <w:tblLayout w:type="fixed"/>
        <w:tblCellMar>
          <w:top w:w="28" w:type="dxa"/>
          <w:left w:w="28" w:type="dxa"/>
          <w:bottom w:w="28" w:type="dxa"/>
          <w:right w:w="28" w:type="dxa"/>
        </w:tblCellMar>
      </w:tblPr>
      <w:tblGrid>
        <w:gridCol w:w="124"/>
        <w:gridCol w:w="109"/>
        <w:gridCol w:w="109"/>
        <w:gridCol w:w="1656"/>
        <w:gridCol w:w="1656"/>
        <w:gridCol w:w="2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w:t>
              <w:br/>
              <w:t>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5996" w:type="dxa"/>
        <w:jc w:val="center"/>
        <w:tblInd w:w="0" w:type="dxa"/>
        <w:tblLayout w:type="fixed"/>
        <w:tblCellMar>
          <w:top w:w="28" w:type="dxa"/>
          <w:left w:w="28" w:type="dxa"/>
          <w:bottom w:w="28" w:type="dxa"/>
          <w:right w:w="28" w:type="dxa"/>
        </w:tblCellMar>
      </w:tblPr>
      <w:tblGrid>
        <w:gridCol w:w="124"/>
        <w:gridCol w:w="109"/>
        <w:gridCol w:w="109"/>
        <w:gridCol w:w="1656"/>
        <w:gridCol w:w="1656"/>
        <w:gridCol w:w="2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w:t>
              <w:br/>
              <w:t>THE SECURITIES EXCHANGE ACT OF 1934</w:t>
            </w:r>
          </w:p>
        </w:tc>
      </w:tr>
    </w:tbl>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 to ______</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Commission file number 0-24531</w:t>
      </w:r>
    </w:p>
    <w:p>
      <w:pPr>
        <w:pStyle w:val="TextBody"/>
        <w:bidi w:val="0"/>
        <w:spacing w:before="0" w:after="60"/>
        <w:jc w:val="center"/>
        <w:rPr/>
      </w:pPr>
      <w:r>
        <w:rPr/>
        <w:drawing>
          <wp:inline distT="0" distB="0" distL="0" distR="0">
            <wp:extent cx="42862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0" cy="733425"/>
                    </a:xfrm>
                    <a:prstGeom prst="rect">
                      <a:avLst/>
                    </a:prstGeom>
                  </pic:spPr>
                </pic:pic>
              </a:graphicData>
            </a:graphic>
          </wp:inline>
        </w:drawing>
      </w:r>
      <w:bookmarkStart w:id="0" w:name="i-1"/>
      <w:bookmarkEnd w:id="0"/>
    </w:p>
    <w:p>
      <w:pPr>
        <w:pStyle w:val="TextBody"/>
        <w:bidi w:val="0"/>
        <w:spacing w:lineRule="auto" w:line="288" w:before="0" w:after="60"/>
        <w:jc w:val="center"/>
        <w:rPr>
          <w:rFonts w:ascii="Times New Roman;serif" w:hAnsi="Times New Roman;serif"/>
          <w:b/>
          <w:color w:val="000000"/>
          <w:sz w:val="36"/>
          <w:u w:val="single"/>
        </w:rPr>
      </w:pPr>
      <w:r>
        <w:rPr>
          <w:rFonts w:ascii="Times New Roman;serif" w:hAnsi="Times New Roman;serif"/>
          <w:b/>
          <w:color w:val="000000"/>
          <w:sz w:val="36"/>
          <w:u w:val="single"/>
        </w:rPr>
        <w:t>CoStar Group, Inc.</w:t>
      </w:r>
    </w:p>
    <w:p>
      <w:pPr>
        <w:pStyle w:val="TextBody"/>
        <w:bidi w:val="0"/>
        <w:spacing w:lineRule="auto" w:line="288" w:before="0" w:after="6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7451" w:type="dxa"/>
        <w:jc w:val="center"/>
        <w:tblInd w:w="0" w:type="dxa"/>
        <w:tblLayout w:type="fixed"/>
        <w:tblCellMar>
          <w:top w:w="28" w:type="dxa"/>
          <w:left w:w="28" w:type="dxa"/>
          <w:bottom w:w="28" w:type="dxa"/>
          <w:right w:w="28" w:type="dxa"/>
        </w:tblCellMar>
      </w:tblPr>
      <w:tblGrid>
        <w:gridCol w:w="1608"/>
        <w:gridCol w:w="1419"/>
        <w:gridCol w:w="1427"/>
        <w:gridCol w:w="109"/>
        <w:gridCol w:w="109"/>
        <w:gridCol w:w="109"/>
        <w:gridCol w:w="778"/>
        <w:gridCol w:w="778"/>
        <w:gridCol w:w="1114"/>
      </w:tblGrid>
      <w:tr>
        <w:trPr/>
        <w:tc>
          <w:tcPr>
            <w:tcW w:w="160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52-2091509</w:t>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bl>
    <w:tbl>
      <w:tblPr>
        <w:tblW w:w="1946" w:type="dxa"/>
        <w:jc w:val="center"/>
        <w:tblInd w:w="0" w:type="dxa"/>
        <w:tblLayout w:type="fixed"/>
        <w:tblCellMar>
          <w:top w:w="28" w:type="dxa"/>
          <w:left w:w="28" w:type="dxa"/>
          <w:bottom w:w="28" w:type="dxa"/>
          <w:right w:w="28" w:type="dxa"/>
        </w:tblCellMar>
      </w:tblPr>
      <w:tblGrid>
        <w:gridCol w:w="315"/>
        <w:gridCol w:w="277"/>
        <w:gridCol w:w="279"/>
        <w:gridCol w:w="158"/>
        <w:gridCol w:w="158"/>
        <w:gridCol w:w="158"/>
        <w:gridCol w:w="176"/>
        <w:gridCol w:w="176"/>
        <w:gridCol w:w="24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9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1201 Wilson Blvd</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Arlington</w:t>
            </w:r>
          </w:p>
        </w:tc>
        <w:tc>
          <w:tcPr>
            <w:tcW w:w="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22209</w:t>
            </w:r>
          </w:p>
        </w:tc>
      </w:tr>
    </w:tbl>
    <w:p>
      <w:pPr>
        <w:pStyle w:val="TextBody"/>
        <w:bidi w:val="0"/>
        <w:spacing w:lineRule="auto" w:line="288" w:before="0" w:after="180"/>
        <w:jc w:val="center"/>
        <w:rPr/>
      </w:pPr>
      <w:r>
        <w:rPr>
          <w:rFonts w:ascii="Times New Roman;serif" w:hAnsi="Times New Roman;serif"/>
          <w:b w:val="false"/>
          <w:i/>
          <w:color w:val="000000"/>
          <w:sz w:val="20"/>
        </w:rPr>
        <w:t>(Ad</w:t>
      </w:r>
      <w:r>
        <w:rPr>
          <w:rFonts w:ascii="Times New Roman;serif" w:hAnsi="Times New Roman;serif"/>
          <w:b w:val="false"/>
          <w:i/>
          <w:color w:val="000000"/>
          <w:sz w:val="18"/>
        </w:rPr>
        <w:t>dress of principal executive offices) (Zip Code)</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(202) 346-6500</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332" w:type="dxa"/>
        <w:jc w:val="center"/>
        <w:tblInd w:w="0" w:type="dxa"/>
        <w:tblLayout w:type="fixed"/>
        <w:tblCellMar>
          <w:top w:w="28" w:type="dxa"/>
          <w:left w:w="28" w:type="dxa"/>
          <w:bottom w:w="28" w:type="dxa"/>
          <w:right w:w="28" w:type="dxa"/>
        </w:tblCellMar>
      </w:tblPr>
      <w:tblGrid>
        <w:gridCol w:w="900"/>
        <w:gridCol w:w="792"/>
        <w:gridCol w:w="797"/>
        <w:gridCol w:w="454"/>
        <w:gridCol w:w="454"/>
        <w:gridCol w:w="456"/>
        <w:gridCol w:w="1019"/>
        <w:gridCol w:w="1019"/>
        <w:gridCol w:w="1441"/>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CSGP</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18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8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0"/>
              <w:jc w:val="both"/>
              <w:rPr>
                <w:color w:val="000000"/>
              </w:rPr>
            </w:pPr>
            <w:r>
              <w:rPr>
                <w:color w:val="000000"/>
              </w:rPr>
              <w: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180"/>
        <w:jc w:val="both"/>
        <w:rPr/>
      </w:pPr>
      <w:r>
        <w:rPr>
          <w:rFonts w:ascii="Times New Roman;serif" w:hAnsi="Times New Roman;serif"/>
          <w:b w:val="false"/>
          <w:color w:val="000000"/>
          <w:sz w:val="18"/>
        </w:rPr>
        <w:t xml:space="preserve">Indicate by check mark whether the registrant is a shell company (as defined in Rule 12b-2 of the Exchange Act). Yes ☐ No </w:t>
      </w:r>
      <w:r>
        <w:rPr>
          <w:rFonts w:ascii="Wingdings;sans-serif" w:hAnsi="Wingdings;sans-serif"/>
          <w:b w:val="false"/>
          <w:color w:val="000000"/>
          <w:sz w:val="18"/>
        </w:rPr>
        <w:t>x</w:t>
      </w:r>
    </w:p>
    <w:p>
      <w:pPr>
        <w:pStyle w:val="TextBody"/>
        <w:bidi w:val="0"/>
        <w:spacing w:lineRule="auto" w:line="288" w:before="0" w:after="180"/>
        <w:jc w:val="both"/>
        <w:rPr/>
      </w:pPr>
      <w:r>
        <w:rPr>
          <w:rFonts w:ascii="Times New Roman;serif" w:hAnsi="Times New Roman;serif"/>
          <w:b w:val="false"/>
          <w:color w:val="000000"/>
          <w:sz w:val="18"/>
        </w:rPr>
        <w:t xml:space="preserve">As of </w:t>
      </w:r>
      <w:r>
        <w:rPr>
          <w:rFonts w:ascii="Times New Roman;serif" w:hAnsi="Times New Roman;serif"/>
          <w:b w:val="false"/>
          <w:color w:val="000000"/>
          <w:sz w:val="20"/>
        </w:rPr>
        <w:t>April 27, 2026</w:t>
      </w:r>
      <w:r>
        <w:rPr>
          <w:rFonts w:ascii="Times New Roman;serif" w:hAnsi="Times New Roman;serif"/>
          <w:b w:val="false"/>
          <w:color w:val="000000"/>
          <w:sz w:val="18"/>
        </w:rPr>
        <w:t>, there</w:t>
      </w:r>
      <w:r>
        <w:rPr>
          <w:color w:val="000000"/>
          <w:shd w:fill="FFFFFF" w:val="clear"/>
        </w:rPr>
        <w:t xml:space="preserve"> </w:t>
      </w:r>
      <w:r>
        <w:rPr>
          <w:rFonts w:ascii="Times New Roman;serif" w:hAnsi="Times New Roman;serif"/>
          <w:b w:val="false"/>
          <w:color w:val="000000"/>
          <w:sz w:val="18"/>
          <w:shd w:fill="FFFFFF" w:val="clear"/>
        </w:rPr>
        <w:t>were 408,355,715 shar</w:t>
      </w:r>
      <w:r>
        <w:rPr>
          <w:rFonts w:ascii="Times New Roman;serif" w:hAnsi="Times New Roman;serif"/>
          <w:b w:val="false"/>
          <w:color w:val="000000"/>
          <w:sz w:val="18"/>
        </w:rPr>
        <w:t>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360"/>
                        <w:jc w:val="both"/>
                        <w:rPr/>
                      </w:pPr>
                      <w:r>
                        <w:rPr/>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903"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2452"/>
        <w:gridCol w:w="2452"/>
        <w:gridCol w:w="2460"/>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10">
              <w:r>
                <w:rPr>
                  <w:rStyle w:val="InternetLink"/>
                  <w:rFonts w:ascii="Times New Roman;serif" w:hAnsi="Times New Roman;serif"/>
                  <w:b w:val="false"/>
                  <w:color w:val="0000FF"/>
                  <w:sz w:val="20"/>
                  <w:u w:val="single"/>
                </w:rPr>
                <w:t>Glossary of Terms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10">
              <w:r>
                <w:rPr>
                  <w:rStyle w:val="InternetLink"/>
                  <w:rFonts w:ascii="Times New Roman;serif" w:hAnsi="Times New Roman;serif"/>
                  <w:b w:val="false"/>
                  <w:color w:val="0000FF"/>
                  <w:sz w:val="20"/>
                  <w:u w:val="single"/>
                </w:rPr>
                <w:t>3</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16">
              <w:r>
                <w:rPr>
                  <w:rStyle w:val="InternetLink"/>
                  <w:rFonts w:ascii="Times New Roman;serif" w:hAnsi="Times New Roman;serif"/>
                  <w:b w:val="false"/>
                  <w:color w:val="0000FF"/>
                  <w:sz w:val="20"/>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16">
              <w:r>
                <w:rPr>
                  <w:rStyle w:val="InternetLink"/>
                  <w:rFonts w:ascii="Times New Roman;serif" w:hAnsi="Times New Roman;serif"/>
                  <w:b w:val="false"/>
                  <w:color w:val="0000FF"/>
                  <w:sz w:val="20"/>
                  <w:u w:val="single"/>
                </w:rPr>
                <w:t>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19">
              <w:r>
                <w:rPr>
                  <w:rStyle w:val="InternetLink"/>
                  <w:rFonts w:ascii="Times New Roman;serif" w:hAnsi="Times New Roman;serif"/>
                  <w:b w:val="false"/>
                  <w:color w:val="0000FF"/>
                  <w:sz w:val="20"/>
                  <w:u w:val="single"/>
                </w:rPr>
                <w:t>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2">
              <w:r>
                <w:rPr>
                  <w:rStyle w:val="InternetLink"/>
                  <w:rFonts w:ascii="Times New Roman;serif" w:hAnsi="Times New Roman;serif"/>
                  <w:b w:val="false"/>
                  <w:color w:val="0000FF"/>
                  <w:sz w:val="20"/>
                  <w:u w:val="single"/>
                </w:rPr>
                <w:t>Condensed Consolidated Statements of Comprehensive Income (Loss)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2">
              <w:r>
                <w:rPr>
                  <w:rStyle w:val="InternetLink"/>
                  <w:rFonts w:ascii="Times New Roman;serif" w:hAnsi="Times New Roman;serif"/>
                  <w:b w:val="false"/>
                  <w:color w:val="0000FF"/>
                  <w:sz w:val="20"/>
                  <w:u w:val="single"/>
                </w:rPr>
                <w:t>7</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5">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5">
              <w:r>
                <w:rPr>
                  <w:rStyle w:val="InternetLink"/>
                  <w:rFonts w:ascii="Times New Roman;serif" w:hAnsi="Times New Roman;serif"/>
                  <w:b w:val="false"/>
                  <w:color w:val="0000FF"/>
                  <w:sz w:val="20"/>
                  <w:u w:val="single"/>
                </w:rPr>
                <w:t>8</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8">
              <w:r>
                <w:rPr>
                  <w:rStyle w:val="InternetLink"/>
                  <w:rFonts w:ascii="Times New Roman;serif" w:hAnsi="Times New Roman;serif"/>
                  <w:b w:val="false"/>
                  <w:color w:val="0000FF"/>
                  <w:sz w:val="20"/>
                  <w:u w:val="single"/>
                </w:rPr>
                <w:t>Condensed 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8">
              <w:r>
                <w:rPr>
                  <w:rStyle w:val="InternetLink"/>
                  <w:rFonts w:ascii="Times New Roman;serif" w:hAnsi="Times New Roman;serif"/>
                  <w:b w:val="false"/>
                  <w:color w:val="0000FF"/>
                  <w:sz w:val="20"/>
                  <w:u w:val="single"/>
                </w:rPr>
                <w:t>9</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31">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31">
              <w:r>
                <w:rPr>
                  <w:rStyle w:val="InternetLink"/>
                  <w:rFonts w:ascii="Times New Roman;serif" w:hAnsi="Times New Roman;serif"/>
                  <w:b w:val="false"/>
                  <w:color w:val="0000FF"/>
                  <w:sz w:val="20"/>
                  <w:u w:val="single"/>
                </w:rPr>
                <w:t>11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34">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34">
              <w:r>
                <w:rPr>
                  <w:rStyle w:val="InternetLink"/>
                  <w:rFonts w:ascii="Times New Roman;serif" w:hAnsi="Times New Roman;serif"/>
                  <w:b w:val="false"/>
                  <w:color w:val="0000FF"/>
                  <w:sz w:val="20"/>
                  <w:u w:val="single"/>
                </w:rPr>
                <w:t>12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15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154">
              <w:r>
                <w:rPr>
                  <w:rStyle w:val="InternetLink"/>
                  <w:rFonts w:ascii="Times New Roman;serif" w:hAnsi="Times New Roman;serif"/>
                  <w:b w:val="false"/>
                  <w:color w:val="0000FF"/>
                  <w:sz w:val="20"/>
                  <w:u w:val="single"/>
                </w:rPr>
                <w:t>40</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193">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193">
              <w:r>
                <w:rPr>
                  <w:rStyle w:val="InternetLink"/>
                  <w:rFonts w:ascii="Times New Roman;serif" w:hAnsi="Times New Roman;serif"/>
                  <w:b w:val="false"/>
                  <w:color w:val="0000FF"/>
                  <w:sz w:val="20"/>
                  <w:u w:val="single"/>
                </w:rPr>
                <w:t>54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196">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196">
              <w:r>
                <w:rPr>
                  <w:rStyle w:val="InternetLink"/>
                  <w:rFonts w:ascii="Times New Roman;serif" w:hAnsi="Times New Roman;serif"/>
                  <w:b w:val="false"/>
                  <w:color w:val="0000FF"/>
                  <w:sz w:val="20"/>
                  <w:u w:val="single"/>
                </w:rPr>
                <w:t>55</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02">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02">
              <w:r>
                <w:rPr>
                  <w:rStyle w:val="InternetLink"/>
                  <w:rFonts w:ascii="Times New Roman;serif" w:hAnsi="Times New Roman;serif"/>
                  <w:b w:val="false"/>
                  <w:color w:val="0000FF"/>
                  <w:sz w:val="20"/>
                  <w:u w:val="single"/>
                </w:rPr>
                <w:t>56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05">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05">
              <w:r>
                <w:rPr>
                  <w:rStyle w:val="InternetLink"/>
                  <w:rFonts w:ascii="Times New Roman;serif" w:hAnsi="Times New Roman;serif"/>
                  <w:b w:val="false"/>
                  <w:color w:val="0000FF"/>
                  <w:sz w:val="20"/>
                  <w:u w:val="single"/>
                </w:rPr>
                <w:t>56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08">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08">
              <w:r>
                <w:rPr>
                  <w:rStyle w:val="InternetLink"/>
                  <w:rFonts w:ascii="Times New Roman;serif" w:hAnsi="Times New Roman;serif"/>
                  <w:b w:val="false"/>
                  <w:color w:val="0000FF"/>
                  <w:sz w:val="20"/>
                  <w:u w:val="single"/>
                </w:rPr>
                <w:t>56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11">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11">
              <w:r>
                <w:rPr>
                  <w:rStyle w:val="InternetLink"/>
                  <w:rFonts w:ascii="Times New Roman;serif" w:hAnsi="Times New Roman;serif"/>
                  <w:b w:val="false"/>
                  <w:color w:val="0000FF"/>
                  <w:sz w:val="20"/>
                  <w:u w:val="single"/>
                </w:rPr>
                <w:t>56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14">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14">
              <w:r>
                <w:rPr>
                  <w:rStyle w:val="InternetLink"/>
                  <w:rFonts w:ascii="Times New Roman;serif" w:hAnsi="Times New Roman;serif"/>
                  <w:b w:val="false"/>
                  <w:color w:val="0000FF"/>
                  <w:sz w:val="20"/>
                  <w:u w:val="single"/>
                </w:rPr>
                <w:t>56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17">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17">
              <w:r>
                <w:rPr>
                  <w:rStyle w:val="InternetLink"/>
                  <w:rFonts w:ascii="Times New Roman;serif" w:hAnsi="Times New Roman;serif"/>
                  <w:b w:val="false"/>
                  <w:color w:val="0000FF"/>
                  <w:sz w:val="20"/>
                  <w:u w:val="single"/>
                </w:rPr>
                <w:t>56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20">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20">
              <w:r>
                <w:rPr>
                  <w:rStyle w:val="InternetLink"/>
                  <w:rFonts w:ascii="Times New Roman;serif" w:hAnsi="Times New Roman;serif"/>
                  <w:b w:val="false"/>
                  <w:color w:val="0000FF"/>
                  <w:sz w:val="20"/>
                  <w:u w:val="single"/>
                </w:rPr>
                <w:t>57</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7d499c6660254e19bcf6aeac1fa6dd8c_223">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d499c6660254e19bcf6aeac1fa6dd8c_223">
              <w:r>
                <w:rPr>
                  <w:rStyle w:val="InternetLink"/>
                  <w:rFonts w:ascii="Times New Roman;serif" w:hAnsi="Times New Roman;serif"/>
                  <w:b w:val="false"/>
                  <w:color w:val="0000FF"/>
                  <w:sz w:val="20"/>
                  <w:u w:val="singl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following abbreviations or acronyms used in this Quarterly Report on Form 10-Q (this </w:t>
      </w:r>
      <w:r>
        <w:rPr>
          <w:color w:val="000000"/>
        </w:rPr>
        <w:t>“</w:t>
      </w:r>
      <w:r>
        <w:rPr>
          <w:rFonts w:ascii="Times New Roman;serif" w:hAnsi="Times New Roman;serif"/>
          <w:b w:val="false"/>
          <w:color w:val="000000"/>
          <w:sz w:val="20"/>
        </w:rPr>
        <w:t>Report</w:t>
      </w:r>
      <w:r>
        <w:rPr>
          <w:color w:val="000000"/>
        </w:rPr>
        <w:t>”</w:t>
      </w:r>
      <w:r>
        <w:rPr>
          <w:rFonts w:ascii="Times New Roman;serif" w:hAnsi="Times New Roman;serif"/>
          <w:b w:val="false"/>
          <w:color w:val="000000"/>
          <w:sz w:val="20"/>
        </w:rPr>
        <w:t>) are defined below:</w:t>
      </w:r>
    </w:p>
    <w:tbl>
      <w:tblPr>
        <w:tblW w:w="10205" w:type="dxa"/>
        <w:jc w:val="left"/>
        <w:tblInd w:w="0" w:type="dxa"/>
        <w:tblLayout w:type="fixed"/>
        <w:tblCellMar>
          <w:top w:w="28" w:type="dxa"/>
          <w:left w:w="28" w:type="dxa"/>
          <w:bottom w:w="28" w:type="dxa"/>
          <w:right w:w="28" w:type="dxa"/>
        </w:tblCellMar>
      </w:tblPr>
      <w:tblGrid>
        <w:gridCol w:w="748"/>
        <w:gridCol w:w="659"/>
        <w:gridCol w:w="660"/>
        <w:gridCol w:w="2574"/>
        <w:gridCol w:w="2299"/>
        <w:gridCol w:w="3265"/>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8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2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2020 Credit Agreement</w:t>
            </w:r>
          </w:p>
        </w:tc>
        <w:tc>
          <w:tcPr>
            <w:tcW w:w="8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amended and restated credit agreement, dated July 1, 2020, which amended and restated in its entirety the then-existing credit agreement originally entered into on April 1, 2014, as amended by the first amendment to the second amended and restated credit agreement, dated May 8, 2023, and was replaced by the 2024 Credit Agreement in May 2024</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Credit Agreement</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the Company entered into on May 24, 2024, which replaced the 2020 Credit Agreement </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Form 10-K</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CoStar Group's Annual Report on Form 10-K for the year ended December 31, 2025 filed with the SEC on February 26, 2026</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ASR Agreement</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Share Repurchase Program entered in 2026</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Australian dollars</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AI</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Artificial intelligence</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AI Technologies</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AI and machine learning technologies</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AOMs</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Structured equity vehicles operating under Domain's Agent Ownership Model. The AOMs</w:t>
              <w:br/>
              <w:t>function as strategic partnership tools that provide residential and commercial real estate agencies</w:t>
              <w:br/>
              <w:t>an economic stake in Domain-affiliated entities, creating a mechanism to reward long-term</w:t>
              <w:br/>
              <w:t>engagement and performance through profit-sharing rather than traditional commissions or</w:t>
              <w:br/>
              <w:t>rebates.</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Assumed Matterport Plans</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Matterport, Inc. 2021 Incentive Award Plan and Matterport, Inc. Amended and Restated 2011 Stock Incentive Plan assumed by CoStar Group in connection with the Matterport Acquisition</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BEAT</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Base erosion and anti-abuse minimum tax</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CoStar Group Board of Directors</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CoStar Group (also the “Company,” “we,” “us,” or “our”)</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legal entity, CoStar Group, Inc., a Delaware corporation, one or more of its consolidated subsidiaries or operating segments, or the entirety of CoStar Group, Inc. and its consolidated subsidiaries</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Share</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share of the common stock of the Company, par value $0.01 per share</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CRI</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legal entity CoStar Realty Information, Inc., a Delaware corporation and wholly owned subsidiary (and primary operating entity in the United States) of CoStar Group, Inc.</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Domain</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Domain Holdings Australia Pty Limited</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Domain Acquisition</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CoStar's acquisition of Domain completed on August 27, 2025, pursuant to the Scheme Implementation Deed</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Domain Proposal</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non-binding indicative proposal to acquire 100% of the issued capital of Domain by way of scheme of arrangement for a cash consideration of A$4.43 per ordinary share of Domain</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DSUs</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Deferred Stock Units</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(loss) before interest income or expense, net; other income or expense, net; loss on debt extinguishment; income taxes; depreciation; and amortization</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EURIBOR</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Euro Interbank Offered Rate</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2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FDII</w:t>
            </w:r>
          </w:p>
        </w:tc>
        <w:tc>
          <w:tcPr>
            <w:tcW w:w="81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36"/>
        <w:gridCol w:w="550"/>
        <w:gridCol w:w="551"/>
        <w:gridCol w:w="2745"/>
        <w:gridCol w:w="2355"/>
        <w:gridCol w:w="3368"/>
      </w:tblGrid>
      <w:tr>
        <w:trPr/>
        <w:tc>
          <w:tcPr>
            <w:tcW w:w="63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84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U.S.</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GILTI</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intangible low-taxed income inclusion</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Homes.com</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of the flagship brands of our residential products and a homes for-sale listings site, which manages workflow and marketing for residential real estate agents and brokers and allows homebuyers to view residential property listings, research communities, and connect with real estate agents and brokers</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H.R.1</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bill to provide for reconciliation pursuant to Title II of H. Con. Res. 14, commonly referred to as the One Big Beautiful Bill Act, and signed into law on July 4, 2025</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Matching RSUs</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Awards of matching restricted stock units awarded under the Company's Management Stock Purchase Plan </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Matterport</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legal entity Matterport, LLC, formerly known as Matterport Inc., a Delaware corporation and provider of a technology platform that uses spatial data to transform physical buildings and spaces into dimensionally accurate, digital images</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Matterport Acquisition</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CoStar's acquisition of Matterport completed on February 28, 2025, pursuant to the Matterport Merger Agreement</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Matterport Common Stock</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Matterport Class A common stock, par value $0.0001 per share</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Matterport Merger Agreement</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21, 2024, CoStar Group entered into an Agreement and Plan of Merger and Reorganization with Matterport, Matrix Merger Sub I LLC, and Matrix Merger Sub II LLC</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Matterport Merger Exchange Ratio</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ratio of 0.03552 which was determined by the Matterport Merger Agreement and was set on the collar floor as the volume-weighted average price at which the CoStar Group Shares traded on the Nasdaq Global Select Market for the 20 consecutive Trading Days was below the Floor Price of a symmetrical collar of $77.42</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MLSs</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Multiple listing services</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MSPP</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Stock Purchase Plan</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NCI</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Noncontrolling interest</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OnTheMarket</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legal entity OnTheMarket Limited, the operator of onthemarket.com, a U.K. residential property portal</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Stock Repurchase Program</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stock repurchase program the Board of Directors approved in February 2025 that authorizes the repurchase of up to $500 million CoStar Group Shares</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Right-of-use</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Software as a Service</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U.S. Securities and Exchange Commission</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Securities Act of 1933, as amended</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2.800% notes issued by CoStar Group, Inc. due July 15, 2030</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SONIA</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Sterling Overnight Index Average </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Repurchase Program</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stock repurchase program the Board of Directors approved in December 2025 that authorizes the repurchase of up to $1.5 billion CoStar Group Shares</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brand for benchmarking hotel performance and providing market insights to the industry</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SOFR</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SOFR term rates administered by CME Group Benchmark Administration Limited</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TSR</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shareholder return</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United Kingdom of Great Britain and Northern Ireland</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United States of America</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Variable Interest Entity</w:t>
            </w:r>
          </w:p>
        </w:tc>
      </w:tr>
      <w:tr>
        <w:trPr/>
        <w:tc>
          <w:tcPr>
            <w:tcW w:w="17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Visual Lease</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legal entity Visual Lease, LLC, a Delaware limited liability company and operator of Visual Lease, a SaaS platform for integrated lease management and lease accounting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0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75"/>
        <w:gridCol w:w="506"/>
        <w:gridCol w:w="508"/>
        <w:gridCol w:w="2671"/>
        <w:gridCol w:w="2453"/>
        <w:gridCol w:w="3492"/>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Abbreviation or Acronym</w:t>
            </w:r>
          </w:p>
        </w:tc>
        <w:tc>
          <w:tcPr>
            <w:tcW w:w="8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Visual Lease Acquisition</w:t>
            </w:r>
          </w:p>
        </w:tc>
        <w:tc>
          <w:tcPr>
            <w:tcW w:w="861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CoStar's acquisition of all of the outstanding equity interest in Visual Lease completed on November 1, 2024, pursuant to the Visual Lease Merger Agreement</w:t>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Visual Lease Merger Agreement</w:t>
            </w:r>
          </w:p>
        </w:tc>
        <w:tc>
          <w:tcPr>
            <w:tcW w:w="861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Agreement and Plan of Merger dated as of October 18, 2024, between CRI; Neptune Merger Sub; Visual Lease, LLC; and Shareholder Representative Services LLC as the Holder Representative, pursuant to which, among other things, and subject to its terms, Neptune Merger Sub merged with and into Visual Lease with Visual Lease surviving the merger as a wholly owned subsidiary of CRI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w:t>
      </w:r>
      <w:bookmarkStart w:id="1" w:name="i1488d254ae594e728ac1be865f51b89a_146"/>
      <w:bookmarkEnd w:id="1"/>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7284" w:type="dxa"/>
        <w:jc w:val="left"/>
        <w:tblInd w:w="0" w:type="dxa"/>
        <w:tblLayout w:type="fixed"/>
        <w:tblCellMar>
          <w:top w:w="28" w:type="dxa"/>
          <w:left w:w="28" w:type="dxa"/>
          <w:bottom w:w="28" w:type="dxa"/>
          <w:right w:w="28" w:type="dxa"/>
        </w:tblCellMar>
      </w:tblPr>
      <w:tblGrid>
        <w:gridCol w:w="1871"/>
        <w:gridCol w:w="1649"/>
        <w:gridCol w:w="1655"/>
        <w:gridCol w:w="211"/>
        <w:gridCol w:w="511"/>
        <w:gridCol w:w="109"/>
        <w:gridCol w:w="109"/>
        <w:gridCol w:w="109"/>
        <w:gridCol w:w="109"/>
        <w:gridCol w:w="211"/>
        <w:gridCol w:w="586"/>
        <w:gridCol w:w="154"/>
      </w:tblGrid>
      <w:tr>
        <w:trPr/>
        <w:tc>
          <w:tcPr>
            <w:tcW w:w="187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Weighted-average outstanding shares - basic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Weighted-average outstanding shares - diluted</w:t>
            </w:r>
          </w:p>
        </w:tc>
        <w:tc>
          <w:tcPr>
            <w:tcW w:w="7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12"/>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284" w:type="dxa"/>
            <w:gridSpan w:val="12"/>
            <w:tcBorders/>
            <w:shd w:fill="FFFFFF" w:val="clear"/>
            <w:tcMar>
              <w:top w:w="0" w:type="dxa"/>
              <w:left w:w="0" w:type="dxa"/>
              <w:bottom w:w="0" w:type="dxa"/>
              <w:right w:w="0" w:type="dxa"/>
            </w:tcMar>
            <w:vAlign w:val="center"/>
          </w:tcPr>
          <w:p>
            <w:pPr>
              <w:pStyle w:val="TableContents"/>
              <w:bidi w:val="0"/>
              <w:spacing w:before="200" w:after="40"/>
              <w:jc w:val="left"/>
              <w:rPr/>
            </w:pPr>
            <w:r>
              <w:rPr/>
            </w:r>
          </w:p>
        </w:tc>
      </w:tr>
    </w:tbl>
    <w:p>
      <w:pPr>
        <w:pStyle w:val="TextBody"/>
        <w:bidi w:val="0"/>
        <w:spacing w:before="200" w:after="200"/>
        <w:ind w:left="0" w:right="0" w:firstLine="360"/>
        <w:jc w:val="center"/>
        <w:rPr/>
      </w:pPr>
      <w:r>
        <w:rPr/>
      </w:r>
    </w:p>
    <w:p>
      <w:pPr>
        <w:pStyle w:val="TextBody"/>
        <w:bidi w:val="0"/>
        <w:spacing w:lineRule="auto" w:line="288" w:before="20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5276" w:type="dxa"/>
        <w:jc w:val="left"/>
        <w:tblInd w:w="0" w:type="dxa"/>
        <w:tblLayout w:type="fixed"/>
        <w:tblCellMar>
          <w:top w:w="28" w:type="dxa"/>
          <w:left w:w="28" w:type="dxa"/>
          <w:bottom w:w="28" w:type="dxa"/>
          <w:right w:w="28" w:type="dxa"/>
        </w:tblCellMar>
      </w:tblPr>
      <w:tblGrid>
        <w:gridCol w:w="1217"/>
        <w:gridCol w:w="1067"/>
        <w:gridCol w:w="1076"/>
        <w:gridCol w:w="224"/>
        <w:gridCol w:w="383"/>
        <w:gridCol w:w="115"/>
        <w:gridCol w:w="115"/>
        <w:gridCol w:w="115"/>
        <w:gridCol w:w="115"/>
        <w:gridCol w:w="224"/>
        <w:gridCol w:w="462"/>
        <w:gridCol w:w="163"/>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w:t>
      </w:r>
      <w:bookmarkStart w:id="2" w:name="i8363d985f6bd408999b98be4a3f4f6a8_88"/>
      <w:bookmarkEnd w:id="2"/>
      <w:r>
        <w:rPr>
          <w:rFonts w:ascii="Times New Roman;serif" w:hAnsi="Times New Roman;serif"/>
          <w:b/>
          <w:color w:val="000000"/>
          <w:sz w:val="20"/>
        </w:rPr>
        <w:t>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tbl>
      <w:tblPr>
        <w:tblW w:w="6993" w:type="dxa"/>
        <w:jc w:val="left"/>
        <w:tblInd w:w="0" w:type="dxa"/>
        <w:tblLayout w:type="fixed"/>
        <w:tblCellMar>
          <w:top w:w="28" w:type="dxa"/>
          <w:left w:w="28" w:type="dxa"/>
          <w:bottom w:w="28" w:type="dxa"/>
          <w:right w:w="28" w:type="dxa"/>
        </w:tblCellMar>
      </w:tblPr>
      <w:tblGrid>
        <w:gridCol w:w="1562"/>
        <w:gridCol w:w="1378"/>
        <w:gridCol w:w="1380"/>
        <w:gridCol w:w="211"/>
        <w:gridCol w:w="721"/>
        <w:gridCol w:w="109"/>
        <w:gridCol w:w="109"/>
        <w:gridCol w:w="109"/>
        <w:gridCol w:w="109"/>
        <w:gridCol w:w="253"/>
        <w:gridCol w:w="867"/>
        <w:gridCol w:w="185"/>
      </w:tblGrid>
      <w:tr>
        <w:trPr/>
        <w:tc>
          <w:tcPr>
            <w:tcW w:w="15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accrual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payable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attributable to CoStar Group</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NCI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93"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062" w:type="dxa"/>
        <w:jc w:val="left"/>
        <w:tblInd w:w="0" w:type="dxa"/>
        <w:tblLayout w:type="fixed"/>
        <w:tblCellMar>
          <w:top w:w="28" w:type="dxa"/>
          <w:left w:w="28" w:type="dxa"/>
          <w:bottom w:w="28" w:type="dxa"/>
          <w:right w:w="28" w:type="dxa"/>
        </w:tblCellMar>
      </w:tblPr>
      <w:tblGrid>
        <w:gridCol w:w="634"/>
        <w:gridCol w:w="268"/>
        <w:gridCol w:w="269"/>
        <w:gridCol w:w="278"/>
        <w:gridCol w:w="278"/>
        <w:gridCol w:w="196"/>
        <w:gridCol w:w="109"/>
        <w:gridCol w:w="109"/>
        <w:gridCol w:w="109"/>
        <w:gridCol w:w="248"/>
        <w:gridCol w:w="305"/>
        <w:gridCol w:w="138"/>
        <w:gridCol w:w="109"/>
        <w:gridCol w:w="109"/>
        <w:gridCol w:w="109"/>
        <w:gridCol w:w="198"/>
        <w:gridCol w:w="562"/>
        <w:gridCol w:w="111"/>
        <w:gridCol w:w="109"/>
        <w:gridCol w:w="109"/>
        <w:gridCol w:w="109"/>
        <w:gridCol w:w="196"/>
        <w:gridCol w:w="571"/>
        <w:gridCol w:w="109"/>
        <w:gridCol w:w="109"/>
        <w:gridCol w:w="109"/>
        <w:gridCol w:w="109"/>
        <w:gridCol w:w="328"/>
        <w:gridCol w:w="705"/>
        <w:gridCol w:w="183"/>
        <w:gridCol w:w="109"/>
        <w:gridCol w:w="109"/>
        <w:gridCol w:w="109"/>
        <w:gridCol w:w="196"/>
        <w:gridCol w:w="556"/>
        <w:gridCol w:w="109"/>
        <w:gridCol w:w="109"/>
        <w:gridCol w:w="109"/>
        <w:gridCol w:w="109"/>
        <w:gridCol w:w="249"/>
        <w:gridCol w:w="707"/>
        <w:gridCol w:w="140"/>
        <w:gridCol w:w="109"/>
        <w:gridCol w:w="109"/>
        <w:gridCol w:w="109"/>
        <w:gridCol w:w="310"/>
        <w:gridCol w:w="523"/>
        <w:gridCol w:w="173"/>
        <w:gridCol w:w="109"/>
        <w:gridCol w:w="109"/>
        <w:gridCol w:w="109"/>
        <w:gridCol w:w="196"/>
        <w:gridCol w:w="55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Stockholders’ Equity Attributable to CoStar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Equity Attributable to </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NCI</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 vested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 surrendered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Stock repurchases under stock repurchase programs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7,913 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952" w:type="dxa"/>
        <w:jc w:val="left"/>
        <w:tblInd w:w="0" w:type="dxa"/>
        <w:tblLayout w:type="fixed"/>
        <w:tblCellMar>
          <w:top w:w="28" w:type="dxa"/>
          <w:left w:w="28" w:type="dxa"/>
          <w:bottom w:w="28" w:type="dxa"/>
          <w:right w:w="28" w:type="dxa"/>
        </w:tblCellMar>
      </w:tblPr>
      <w:tblGrid>
        <w:gridCol w:w="634"/>
        <w:gridCol w:w="268"/>
        <w:gridCol w:w="269"/>
        <w:gridCol w:w="278"/>
        <w:gridCol w:w="278"/>
        <w:gridCol w:w="196"/>
        <w:gridCol w:w="109"/>
        <w:gridCol w:w="109"/>
        <w:gridCol w:w="109"/>
        <w:gridCol w:w="248"/>
        <w:gridCol w:w="305"/>
        <w:gridCol w:w="138"/>
        <w:gridCol w:w="109"/>
        <w:gridCol w:w="109"/>
        <w:gridCol w:w="109"/>
        <w:gridCol w:w="198"/>
        <w:gridCol w:w="562"/>
        <w:gridCol w:w="111"/>
        <w:gridCol w:w="109"/>
        <w:gridCol w:w="109"/>
        <w:gridCol w:w="109"/>
        <w:gridCol w:w="211"/>
        <w:gridCol w:w="437"/>
        <w:gridCol w:w="118"/>
        <w:gridCol w:w="109"/>
        <w:gridCol w:w="109"/>
        <w:gridCol w:w="109"/>
        <w:gridCol w:w="366"/>
        <w:gridCol w:w="646"/>
        <w:gridCol w:w="204"/>
        <w:gridCol w:w="109"/>
        <w:gridCol w:w="109"/>
        <w:gridCol w:w="109"/>
        <w:gridCol w:w="196"/>
        <w:gridCol w:w="556"/>
        <w:gridCol w:w="109"/>
        <w:gridCol w:w="109"/>
        <w:gridCol w:w="109"/>
        <w:gridCol w:w="109"/>
        <w:gridCol w:w="249"/>
        <w:gridCol w:w="707"/>
        <w:gridCol w:w="140"/>
        <w:gridCol w:w="109"/>
        <w:gridCol w:w="109"/>
        <w:gridCol w:w="109"/>
        <w:gridCol w:w="277"/>
        <w:gridCol w:w="574"/>
        <w:gridCol w:w="155"/>
        <w:gridCol w:w="109"/>
        <w:gridCol w:w="109"/>
        <w:gridCol w:w="109"/>
        <w:gridCol w:w="196"/>
        <w:gridCol w:w="55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Stockholders’ Equity Attributable to CoStar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Equity Attributable to </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grants surrendered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 repurchases under stock repurchase programs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Matterport Acquisition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00"/>
        <w:ind w:left="0" w:right="0" w:firstLine="360"/>
        <w:jc w:val="center"/>
        <w:rPr/>
      </w:pPr>
      <w:r>
        <w:rPr/>
      </w:r>
    </w:p>
    <w:p>
      <w:pPr>
        <w:pStyle w:val="TextBody"/>
        <w:bidi w:val="0"/>
        <w:spacing w:lineRule="auto" w:line="288" w:before="0" w:after="20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258" w:type="dxa"/>
        <w:jc w:val="center"/>
        <w:tblInd w:w="0" w:type="dxa"/>
        <w:tblLayout w:type="fixed"/>
        <w:tblCellMar>
          <w:top w:w="28" w:type="dxa"/>
          <w:left w:w="28" w:type="dxa"/>
          <w:bottom w:w="28" w:type="dxa"/>
          <w:right w:w="28" w:type="dxa"/>
        </w:tblCellMar>
      </w:tblPr>
      <w:tblGrid>
        <w:gridCol w:w="2236"/>
        <w:gridCol w:w="1960"/>
        <w:gridCol w:w="1968"/>
        <w:gridCol w:w="196"/>
        <w:gridCol w:w="556"/>
        <w:gridCol w:w="109"/>
        <w:gridCol w:w="109"/>
        <w:gridCol w:w="109"/>
        <w:gridCol w:w="109"/>
        <w:gridCol w:w="196"/>
        <w:gridCol w:w="556"/>
        <w:gridCol w:w="154"/>
      </w:tblGrid>
      <w:tr>
        <w:trPr/>
        <w:tc>
          <w:tcPr>
            <w:tcW w:w="223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commissions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Credit loss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acquisitions: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other current assets and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and settlement of investments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other assets for new campuses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restricted stock to satisfy tax withholding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currency exchange rates on cash, cash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the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the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disclosures: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(refund) paid, net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 and non-cash landlord incentives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Group (the "Company") is a leading global provider of real estate information, analytics, online marketplaces, and 3D digital twin technology. The Company has created and compiled a standardized platform of real estate information and analytics and online marketplaces where industry professionals, consumers of real estate, and the related business communities can continuously interact and facilitate transactions by efficiently accessing and exchanging accurate and standardized real estate-related information. The Company's service offerings span all property types, including office, residential, retail, industrial, multifamily, land, mixed-use, and hospitality. The Company's services are typically distributed to its customers under subscription-based agreements that generally renew automatically and have a minimum term of one year. The Company operates within two operating segments, which are Commercial Real Estate and Residential Real Estate.</w:t>
      </w:r>
    </w:p>
    <w:p>
      <w:pPr>
        <w:pStyle w:val="TextBody"/>
        <w:bidi w:val="0"/>
        <w:spacing w:lineRule="auto" w:line="288" w:before="0" w:after="200"/>
        <w:ind w:left="0" w:right="0" w:firstLine="360"/>
        <w:jc w:val="both"/>
        <w:rPr/>
      </w:pPr>
      <w:r>
        <w:rPr>
          <w:rFonts w:ascii="Times New Roman;serif" w:hAnsi="Times New Roman;serif"/>
          <w:b w:val="false"/>
          <w:color w:val="000000"/>
          <w:sz w:val="20"/>
          <w:shd w:fill="FFFFFF" w:val="clear"/>
        </w:rPr>
        <w:t>The Company acquired</w:t>
      </w:r>
      <w:r>
        <w:rPr>
          <w:color w:val="000000"/>
        </w:rPr>
        <w:t xml:space="preserve"> </w:t>
      </w:r>
      <w:r>
        <w:rPr>
          <w:rFonts w:ascii="Times New Roman;serif" w:hAnsi="Times New Roman;serif"/>
          <w:b w:val="false"/>
          <w:color w:val="000000"/>
          <w:sz w:val="20"/>
        </w:rPr>
        <w:t>Matterport and Domain</w:t>
      </w:r>
      <w:r>
        <w:rPr>
          <w:color w:val="000000"/>
          <w:shd w:fill="FFFFFF" w:val="clear"/>
        </w:rPr>
        <w:t xml:space="preserve"> </w:t>
      </w:r>
      <w:r>
        <w:rPr>
          <w:rFonts w:ascii="Times New Roman;serif" w:hAnsi="Times New Roman;serif"/>
          <w:b w:val="false"/>
          <w:color w:val="000000"/>
          <w:sz w:val="20"/>
          <w:shd w:fill="FFFFFF" w:val="clear"/>
        </w:rPr>
        <w:t>in February 2025 and August 2025, respectively. See Note 4 for further discussion of these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All intercompany balances and transactions have been eliminated in consolidation. Accounting policies are consistent for each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Principles of Consolidation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CoStar Group, Inc. and all entities in which we have a controlling financial interest. To determine whether such an interest exists, we assess whether the entity qualifies as a VIE.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consolidate VIEs when we are the primary beneficiary. We are deemed the primary beneficiary of a VIE when we have both (a) the power to direct the activities of the VIE that most significantly impact its economic performance and (b) the obligation to absorb losses or the right to receive benefits that could potentially be significant to the VIE.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whether we are the primary beneficiary, we consider various factors regarding the nature of our involvement with the VIE, including our economic interests, voting rights, authority to appoint or remove directors, and ability to authorize key decisions. We also analyze the VIE’s design, including its capital structure, cash flows, and classes of shares.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Domain Acquisition, the Company obtained ownership interests in the AOMs, which are considered VIEs for which the Company is the primary beneficiary. Domain introduced the AOMs to incentivize real estate agents to increase their use of Domain's depth products by allowing agents to share in a portion of Domain's earnings in return for placing premium, higher-value advertisements on the Domain platform. Domain provides corporate services to the VIEs under services agreements. In addition, CoStar Group has issued letters of support to the VIEs, committing to provide financial support in the event that the VIEs are unable to meet their liabilities independently.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4 for additional details regarding the Domain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Interim Financial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Company have been prepared in accordance with GAAP for interim financial information. In the opinion of the Company’s management, the financial statements reflect all adjustments, consisting only of a normal recurring nature, necessary to present fairly the Company’s financial position at March 31, 2026 and December 31, 2025, the results of its operations for the three months ended March 31, 2026 and 2025, its comprehensive income (loss) for the three months ended March 31, 2026 and 2025, its changes in stockholders' equity for the three months ended March 31, 2026 and 2025, and its cash flows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notes and other information have been condensed or omitted from the interim financial statements presented in this Report. Therefore, these financial statements should be read in conjunction with the Company’s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Recast of Certain Prior Period Information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changed the composition of its segments from geography-based to product-portfolio-based. This change aligns with the internal reporting used by the CODM for assessing performance and allocating resources. Prior period segment disclosures have been recast to conform to the current presentation, except where it was impracticable to do so. These changes primarily impacted Notes 3 and 12.</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recast of prior period information did not affect the condensed consolidated balance sheets, condensed consolidated statements of operations, or other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financial statements and accompanying notes. On an ongoing basis, the Company evaluates its estimates and assumptions, including those related to revenue recognition, allowance for credit losses, the useful lives and recoverability of long-lived and intangible assets, goodwill impairment assessment, income taxes, accounting for business combinations, stock-based compensation, estimating the Company's incremental borrowing rate for its leases, the determination of stand-alone selling prices of various performance obligations,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 and expenses. Actual results could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refunds and returns and any taxes collected from customers, which are subsequently remitted to governmental authorities.</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Nature of Products and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derives revenue primarily by (i) providing online marketplaces for professional property management companies, property owners, real estate agents and brokers, and landlords, in each case, typically through a fixed monthly fee for its subscription-based advertising services and (ii) providing access to its proprietary database of commercial real estate information, including benchmarking and analytics for the hospitality industry and analytics for lenders. Other subscription-based services include (i) real estate and lease management solutions to commercial customers and real estate investors and (ii) access to its AI-powered spatial data platform to create high-fidelity and high-accuracy digital twins of physical spaces.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contract rates are generally based on the number of sites, number of users, organization size, the customer’s business focus, geography, the number of properties reported on or analyzed, the number and types of services to which a customer subscribes, the number of properties a customer advertises, the number of digital twins hosted, the number of transactions and average transaction size a broker or agent has closed, and the prominence and placement of a customer's advertised properties in the search results. The Company’s subscription-based licenses, advertising packages, and membership agreements generally renew automatically, and the majority have a term of at least one year. Revenue from subscription-based contracts was approximately 90% and 96% of total revenue for the three months ended March 31, 2026 and 2025,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derives revenue from transaction-based services, including: (i) providing premium listings for individual properties on our marketplaces, (ii) providing data capture services to create digital twins, (iii) the sale of Matterport cameras and capture equipment, (iv) Ten-X's auctions, and (v) ancillary products and services that are sold on an ad hoc basis.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upon the satisfaction of its performance obligations (upon transfer of control of promised services to its customers) in an amount that reflects the consideration which it expects to be entitled to in exchange for those services. Revenue from subscription-based services is recognized on a straight-line basis over the term of the agreement. Revenue from premium listings sold on a transactional basis is recognized over the estimated period the advertisements will be active. Revenue from all other transaction-based services is recognized when the promised product or services are delivered, which, in the case of property auctions, is at the time of a successful closing for the sale of the auctioned property. Revenue from product sales is recognized upon control transferring to the customers, which is generally upon shipment. Revenue for sales of Matterport cameras is recorded net of estimates of returns, as buyers are entitled to return the camera within 30 days from the date of purchase for a full refund. These rights are accounted for as variable consideration and recognized as a reduction to the revenue recognized.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limited circumstances, the Company's contracts with customers include promises to transfer multiple services, such as contracts for its subscription-based services and professional services or product sales, digital twin capture services, and subscription-based hosting service. For these contracts, the Company accounts for individual performance obligations separately if they are distinct, which involves the determination of the standalone selling price for each distinct performance obligation.</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Contract Balances and Other Receivables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results from amounts billed in advance to customers or cash received from customers in advance of the Company's fulfillment of its performance obligations and is recognized as those obligations are satisfied.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Assets Recognized from Costs to Obtain a Contract with a Customer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sales commissions are considered incremental and recoverable costs of obtaining a contract with a customer. Sales commissions incurred for obtaining new contracts are deferred and then amortized as selling and marketing expenses (excluding customer base amortization) over the period of benefit that the Company has determined to be three years. The amortization period was determined based on several factors, including the nature of the technology and proprietary data underlying the services being purchased, customer contract renewal rates, and industry competition. Sales commissions that do not represent incremental costs of obtaining a contract, or that would otherwise be amortized over a period of one year or less, are not subject to capitalization.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3 for further discussion of the Company's revenue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Cost of Revenue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principally consists of salaries, benefits, bonuses, stock-based compensation expenses, and other indirect costs for the Company's researchers who collect and analyze the real estate data that is the basis for the Company's information, analytics, and online marketplace services and for employees who support these products. Additionally, cost of revenue includes amortization of acquired trade names, technology, and certain other intangible assets; product hosting costs; credit card and other transaction fees relating to processing customer transactions; cost of data from third-party data sources; costs of capture services; and costs of Matterport cameras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Foreign Currency Translation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Company’s reporting currency is the U.S. dollar. The functional currency for the majority of its operations is the local currency, with the exception of certain international locations for which the functional currency is the British Pound or U.S. dollar. Assets and liabilities denominated in a foreign currency are translated into U.S. dollars using the exchange rates in effect as of the balance sheet date. Gains and losses resulting from translation are included in accumulated other comprehensive income. Currency g</w:t>
      </w:r>
      <w:r>
        <w:rPr>
          <w:rFonts w:ascii="Times New Roman;serif" w:hAnsi="Times New Roman;serif"/>
          <w:b w:val="false"/>
          <w:color w:val="252525"/>
          <w:sz w:val="20"/>
        </w:rPr>
        <w:t xml:space="preserve">ains and losses on the translation of intercompany loans made to foreign subsidiaries that are of a long-term investment nature are also included </w:t>
      </w:r>
      <w:r>
        <w:rPr>
          <w:rFonts w:ascii="Times New Roman;serif" w:hAnsi="Times New Roman;serif"/>
          <w:b w:val="false"/>
          <w:color w:val="000000"/>
          <w:sz w:val="20"/>
        </w:rPr>
        <w:t xml:space="preserve">in accumulated other comprehensive income. Gains and losses resulting from transactions denominated in a currency other than the functional currency of the entity are included in other expense, net in the condensed consolidated statements of operations using the average exchange rates in effect during the period. The Company recognized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immaterial net foreign currency loss for the three months ended March 31, 2026 and a net foreign currency loss of $4 million for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Accumulated Other Comprehensive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were as follows (in millions):</w:t>
      </w:r>
    </w:p>
    <w:tbl>
      <w:tblPr>
        <w:tblW w:w="6626" w:type="dxa"/>
        <w:jc w:val="left"/>
        <w:tblInd w:w="0" w:type="dxa"/>
        <w:tblLayout w:type="fixed"/>
        <w:tblCellMar>
          <w:top w:w="28" w:type="dxa"/>
          <w:left w:w="28" w:type="dxa"/>
          <w:bottom w:w="28" w:type="dxa"/>
          <w:right w:w="28" w:type="dxa"/>
        </w:tblCellMar>
      </w:tblPr>
      <w:tblGrid>
        <w:gridCol w:w="1456"/>
        <w:gridCol w:w="1277"/>
        <w:gridCol w:w="1286"/>
        <w:gridCol w:w="262"/>
        <w:gridCol w:w="578"/>
        <w:gridCol w:w="135"/>
        <w:gridCol w:w="109"/>
        <w:gridCol w:w="109"/>
        <w:gridCol w:w="109"/>
        <w:gridCol w:w="379"/>
        <w:gridCol w:w="649"/>
        <w:gridCol w:w="277"/>
      </w:tblGrid>
      <w:tr>
        <w:trPr/>
        <w:tc>
          <w:tcPr>
            <w:tcW w:w="145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00"/>
        <w:ind w:left="0" w:right="0" w:firstLine="360"/>
        <w:jc w:val="both"/>
        <w:rPr/>
      </w:pPr>
      <w:r>
        <w:rPr>
          <w:rFonts w:ascii="Times New Roman;serif" w:hAnsi="Times New Roman;serif"/>
          <w:b w:val="false"/>
          <w:color w:val="000000"/>
          <w:sz w:val="20"/>
        </w:rPr>
        <w:t>There were no amounts reclassified out of accumulated other comprehensive income to the condensed consolidated statements of operations for the three months ended March 31, 2026 and 2025.</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taxes result from temporary differences between the tax basis of assets and liabilities and the basis reported in the Company’s condensed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record the GILTI under the current-period cost method.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new federal tax legislation, H.R.1, was enacted. The legislation amends U.S. tax law, including provisions related to domestic research and development expenses, the restoration of EBITDA-based interest deduction limitation, and bonus depreciation, among others, and international tax provisions, including eliminating the net deemed tangible income return, decreasing the tax rates and taxable income computations applicable to GILTI and FDII, and permanently increasing the BEAT rate. The Company has assessed the impact of the legislation on its condensed consolidated financial statements and has included the impact of items affecting its forecasted tax rate as part of its income tax expense computed for the three months ended March 31,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for further discussion of the Company's accounting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Earnings per share is computed by dividing net income (loss) by the weighted-average number of common shares outstanding during the period on a basic and diluted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earnings per share (in millions, except per share data):</w:t>
      </w:r>
    </w:p>
    <w:tbl>
      <w:tblPr>
        <w:tblW w:w="8978" w:type="dxa"/>
        <w:jc w:val="left"/>
        <w:tblInd w:w="0" w:type="dxa"/>
        <w:tblLayout w:type="fixed"/>
        <w:tblCellMar>
          <w:top w:w="28" w:type="dxa"/>
          <w:left w:w="28" w:type="dxa"/>
          <w:bottom w:w="28" w:type="dxa"/>
          <w:right w:w="28" w:type="dxa"/>
        </w:tblCellMar>
      </w:tblPr>
      <w:tblGrid>
        <w:gridCol w:w="3174"/>
        <w:gridCol w:w="1846"/>
        <w:gridCol w:w="1849"/>
        <w:gridCol w:w="211"/>
        <w:gridCol w:w="511"/>
        <w:gridCol w:w="109"/>
        <w:gridCol w:w="109"/>
        <w:gridCol w:w="109"/>
        <w:gridCol w:w="109"/>
        <w:gridCol w:w="211"/>
        <w:gridCol w:w="586"/>
        <w:gridCol w:w="154"/>
      </w:tblGrid>
      <w:tr>
        <w:trPr/>
        <w:tc>
          <w:tcPr>
            <w:tcW w:w="317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sz w:val="20"/>
              </w:rPr>
              <w:br/>
            </w:r>
            <w:r>
              <w:rPr>
                <w:rFonts w:ascii="Times New Roman;serif" w:hAnsi="Times New Roman;serif"/>
                <w:b w:val="false"/>
                <w:color w:val="000000"/>
                <w:sz w:val="20"/>
              </w:rPr>
              <w:t>Numerator:</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869"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 — weighted-average outstanding shares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restricted stock awards, and restricted stock units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 — weighted-average outstanding shares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include outstanding stock options and unvested stock-based awards, which include restricted stock awards, restricted stock units, and Matching RSUs awarded under the MSPP. Shares underlying unvested restricted stock awards that vest based on a performance condition and those that vest based on a performance and market condition that have not been achieved as of the end of the period are not included in the computation of basic or diluted earnings per share. Diluted earnings per share considers the impact of potentially dilutive securities except when the inclusion of the potentially dilutive securities would have an anti-dilutive effect.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shares underlying the unvested performance-based restricted stock awards and units and anti-dilutive securities excluded from the basic and diluted earnings per share calculations (in millions):</w:t>
      </w:r>
    </w:p>
    <w:tbl>
      <w:tblPr>
        <w:tblW w:w="6240" w:type="dxa"/>
        <w:jc w:val="left"/>
        <w:tblInd w:w="0" w:type="dxa"/>
        <w:tblLayout w:type="fixed"/>
        <w:tblCellMar>
          <w:top w:w="28" w:type="dxa"/>
          <w:left w:w="28" w:type="dxa"/>
          <w:bottom w:w="28" w:type="dxa"/>
          <w:right w:w="28" w:type="dxa"/>
        </w:tblCellMar>
      </w:tblPr>
      <w:tblGrid>
        <w:gridCol w:w="1565"/>
        <w:gridCol w:w="1376"/>
        <w:gridCol w:w="1379"/>
        <w:gridCol w:w="204"/>
        <w:gridCol w:w="204"/>
        <w:gridCol w:w="204"/>
        <w:gridCol w:w="204"/>
        <w:gridCol w:w="204"/>
        <w:gridCol w:w="204"/>
        <w:gridCol w:w="204"/>
        <w:gridCol w:w="204"/>
        <w:gridCol w:w="288"/>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awards and units</w:t>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securities</w:t>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 instruments issued in exchange for services performed by officers, employees, and directors of the Company are accounted for using a fair value-based method and the fair value of such equity instruments is recognized as expense in the condensed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stock-based awards that vest over a specific service period, compensation expense is measured based on the fair value of the awards at the grant date and is recognized on a straight-line basis over the service period of the awards, net of an estimated forfeiture rate. For equity instruments that vest based on achievement of a performance condition or both a performance and a market condition, stock-based compensation expense is recognized over the service period of the awards based on the expected achievement of the related performance conditions at the end of each reporting period. If the Company's initial estimates of the achievement of the performance conditions change, the related stock-based compensation expense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 which includes the recent market price and volatility of the Company's shares. When determining the grant date fair value of all stock-based awards, the Company considers whether it is in possession of any material, non-public information that upon its release would have a material effect on its share price, and if so, whether the observable share price or expected volatility assumptions used in determining the fair value of the awards should be adjusted.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restricted stock awards, and restricted stock units issued under equity incentive plans, stock purchases under the ESPP, and DSUs and Matching RSUs awarded under the MSPP included in the Company’s condensed consolidated statements of operations were as follows (in millions):</w:t>
      </w:r>
    </w:p>
    <w:tbl>
      <w:tblPr>
        <w:tblW w:w="7089" w:type="dxa"/>
        <w:jc w:val="left"/>
        <w:tblInd w:w="0" w:type="dxa"/>
        <w:tblLayout w:type="fixed"/>
        <w:tblCellMar>
          <w:top w:w="28" w:type="dxa"/>
          <w:left w:w="28" w:type="dxa"/>
          <w:bottom w:w="28" w:type="dxa"/>
          <w:right w:w="28" w:type="dxa"/>
        </w:tblCellMar>
      </w:tblPr>
      <w:tblGrid>
        <w:gridCol w:w="1871"/>
        <w:gridCol w:w="1648"/>
        <w:gridCol w:w="1656"/>
        <w:gridCol w:w="233"/>
        <w:gridCol w:w="399"/>
        <w:gridCol w:w="120"/>
        <w:gridCol w:w="120"/>
        <w:gridCol w:w="120"/>
        <w:gridCol w:w="120"/>
        <w:gridCol w:w="233"/>
        <w:gridCol w:w="399"/>
        <w:gridCol w:w="170"/>
      </w:tblGrid>
      <w:tr>
        <w:trPr/>
        <w:tc>
          <w:tcPr>
            <w:tcW w:w="1871"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Loss Contingencies and Litigation Expense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the possibility of losses from various contingencies, including certain legal proceedings. Significant judgment is 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 If only a range of estimated losses can be determined, the Company records an amount within the range that, in its judgment, reflects the most likely outcome; if none of the estimates within that range are a better estimate than any other amount, the Company records the low end of the range. Any such accrual would be charged to expense in the appropriate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three months or less when purchased to be cash equivalents. Restricted cash consists of cash deposited as collateral related to a litigation bond in a third-party insured account. See Note 11 for further discussion regarding the Company's 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are included in the following line items in the condensed consolidated balance sheets and condensed consolidated statements of cash flows (in millions):</w:t>
      </w:r>
    </w:p>
    <w:tbl>
      <w:tblPr>
        <w:tblW w:w="7525" w:type="dxa"/>
        <w:jc w:val="left"/>
        <w:tblInd w:w="0" w:type="dxa"/>
        <w:tblLayout w:type="fixed"/>
        <w:tblCellMar>
          <w:top w:w="28" w:type="dxa"/>
          <w:left w:w="28" w:type="dxa"/>
          <w:bottom w:w="28" w:type="dxa"/>
          <w:right w:w="28" w:type="dxa"/>
        </w:tblCellMar>
      </w:tblPr>
      <w:tblGrid>
        <w:gridCol w:w="1445"/>
        <w:gridCol w:w="1269"/>
        <w:gridCol w:w="1276"/>
        <w:gridCol w:w="324"/>
        <w:gridCol w:w="948"/>
        <w:gridCol w:w="167"/>
        <w:gridCol w:w="109"/>
        <w:gridCol w:w="109"/>
        <w:gridCol w:w="109"/>
        <w:gridCol w:w="380"/>
        <w:gridCol w:w="1110"/>
        <w:gridCol w:w="279"/>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an allowance for credit losses to cover its current expected credit losses on its trade receivables and contract assets arising from the failure of customers to make contractual payments. The Company estimates credit losses expected over the life of its trade receivables and contract assets based on historical information combined with current conditions that may affect a customer’s ability to pay. While the Company uses various credit quality metrics, it primarily monitors collectability by reviewing the duration of collection pursuits on its delinquent trade receivables and historical write-off trends. Based on the Company’s experience, the customer's delinquency status is the strongest indicator of the credit quality of the underlying trade receivables. The Company’s policy is to write off trade receivables when they are deemed uncollectible.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252525"/>
          <w:sz w:val="20"/>
        </w:rPr>
      </w:pPr>
      <w:r>
        <w:rPr>
          <w:rFonts w:ascii="Times New Roman;serif" w:hAnsi="Times New Roman;serif"/>
          <w:b w:val="false"/>
          <w:color w:val="252525"/>
          <w:sz w:val="20"/>
        </w:rPr>
        <w:t>The following table details the activity related to the allowance for credit losses for trade receivables (in millions):</w:t>
      </w:r>
    </w:p>
    <w:tbl>
      <w:tblPr>
        <w:tblW w:w="7063" w:type="dxa"/>
        <w:jc w:val="left"/>
        <w:tblInd w:w="0" w:type="dxa"/>
        <w:tblLayout w:type="fixed"/>
        <w:tblCellMar>
          <w:top w:w="28" w:type="dxa"/>
          <w:left w:w="28" w:type="dxa"/>
          <w:bottom w:w="28" w:type="dxa"/>
          <w:right w:w="28" w:type="dxa"/>
        </w:tblCellMar>
      </w:tblPr>
      <w:tblGrid>
        <w:gridCol w:w="1533"/>
        <w:gridCol w:w="1345"/>
        <w:gridCol w:w="1352"/>
        <w:gridCol w:w="345"/>
        <w:gridCol w:w="590"/>
        <w:gridCol w:w="178"/>
        <w:gridCol w:w="178"/>
        <w:gridCol w:w="178"/>
        <w:gridCol w:w="178"/>
        <w:gridCol w:w="345"/>
        <w:gridCol w:w="590"/>
        <w:gridCol w:w="251"/>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Current-period provision for expected credit losses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Write-offs charged against the allowance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 primarily of finished goods, assemblies, and raw materials. Assemblies are generally purchased from contract manufacturers. Inventories are valued at the lower of cost or net realizable value. Costs are determined using standard cost, which approximates actual cost on a first-in, first-out basis. The Company assesses the valuation of inventory and periodically adjusts the value for estimated excess and obsolete inventory based upon estimates of future demand and market conditions, as well as damaged or otherwise impaired goods. </w:t>
      </w:r>
    </w:p>
    <w:p>
      <w:pPr>
        <w:pStyle w:val="TextBody"/>
        <w:bidi w:val="0"/>
        <w:spacing w:lineRule="auto" w:line="288" w:before="0" w:after="200"/>
        <w:ind w:left="0" w:right="0" w:firstLine="360"/>
        <w:jc w:val="both"/>
        <w:rPr/>
      </w:pPr>
      <w:r>
        <w:rPr>
          <w:rFonts w:ascii="Times New Roman;serif" w:hAnsi="Times New Roman;serif"/>
          <w:b w:val="false"/>
          <w:color w:val="000000"/>
          <w:sz w:val="20"/>
          <w:shd w:fill="FFFFFF" w:val="clear"/>
        </w:rPr>
        <w:t>Inventories related to the Matterport Acquisition</w:t>
      </w:r>
      <w:r>
        <w:rPr>
          <w:color w:val="000000"/>
        </w:rPr>
        <w:t xml:space="preserve"> </w:t>
      </w:r>
      <w:r>
        <w:rPr>
          <w:rFonts w:ascii="Times New Roman;serif" w:hAnsi="Times New Roman;serif"/>
          <w:b w:val="false"/>
          <w:color w:val="000000"/>
          <w:sz w:val="20"/>
          <w:shd w:fill="FFFFFF" w:val="clear"/>
        </w:rPr>
        <w:t>consisted of the following (in millions):</w:t>
      </w:r>
    </w:p>
    <w:tbl>
      <w:tblPr>
        <w:tblW w:w="6370" w:type="dxa"/>
        <w:jc w:val="left"/>
        <w:tblInd w:w="0" w:type="dxa"/>
        <w:tblLayout w:type="fixed"/>
        <w:tblCellMar>
          <w:top w:w="28" w:type="dxa"/>
          <w:left w:w="28" w:type="dxa"/>
          <w:bottom w:w="28" w:type="dxa"/>
          <w:right w:w="28" w:type="dxa"/>
        </w:tblCellMar>
      </w:tblPr>
      <w:tblGrid>
        <w:gridCol w:w="1027"/>
        <w:gridCol w:w="902"/>
        <w:gridCol w:w="906"/>
        <w:gridCol w:w="446"/>
        <w:gridCol w:w="763"/>
        <w:gridCol w:w="230"/>
        <w:gridCol w:w="109"/>
        <w:gridCol w:w="109"/>
        <w:gridCol w:w="109"/>
        <w:gridCol w:w="600"/>
        <w:gridCol w:w="728"/>
        <w:gridCol w:w="44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parts and raw materials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an arrangement contains a lease and the classification of a lease, if applicable, is made at the commencement of the arrangement, at which time the Company also measures and recognizes a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12 months or less. The lease term is defined as the noncancelable portion of the lease term, plus any periods covered by an option to extend the lease if it is reasonably certain that the option will be exercised.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the amount of lease payments used in measuring ROU assets and lease liabilities, the Company has elected the practical expedient not to separate non-lease components from lease components for all classes of underlying assets. Consideration deemed part of the lease payments used to measure ROU assets and lease liabilities generally includes fixed payments and variable payments based on either an index or a rate, offset by lease incentives. Upon commencement, the initial ROU asset also includes any lease prepayments.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payments. The determination of the Company’s incremental borrowing rate requires judgment and is determined at lease commencement and is subsequently reassessed upon a modification to the lease arrangement.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costs related to the Company's operating leases are generally recognized as a single ratable lease cost over the lease term.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6 for further discussion of the Company’s accounting for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Long-Lived Assets, Intangible Assets, and 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Long-lived assets, such as property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undiscounted future cash flows expected to be generated by the asset or asset group. If the carrying amount of an asset exceeds its estimated undiscounted future cash flows, an impairment charge is recognized in the amount by which the carrying amount of the asset exceeds the fair value of the asset. The Company capitalizes interest costs during the construction phase. Capitalized interest is added to the cost of the underlying asset upon substantial completion and amortized over the estimated useful life of the asset.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Acquired technology and data, customer base assets, trade names, and other intangible assets are related to the Company’s acquisitions. The Company removes fully amortized intangible assets from the cost and accumulated amortization amounts disclosed.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at least annually, on October 1, or more frequently if an event or other circumstance indicates that the fair value of a reporting unit may be below its carrying amount. The Company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 is less than its carrying value, or the Company elects to bypass the qualitative assessment, the Company then performs a quantitative assessment by determining the fair value of each reporting unit. The estimate of the fair value of each reporting unit is based on a projected discounted cash flow model that includes significant assumptions and estimates, including the discount rate, growth rate, and future financial performance. Assumptions about the discount rate are based on a weighted-average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Notes 4, 7, and 8 for further discussion of the Company's acquisitions, goodwill, and intangible assets,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Leasing Operations and Other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closed on the purchase of an office tower and the land on which it rests in Arlington, Virginia. In January 2025, the Company relocated its headquarters from Washington, D.C. to Arlington, VA, initially occupying approximately 30% of the building. The Company continues to build out further space in this building to support anticipated growth and expansion of its operations in the coming years. Maintenance, physical facilities, leasing, property management, and other key responsibilities related to property ownership are outsourced to professional real-estate managers. The office tower measures approximately 550,000 rentable square feet.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the third-party rental activity from this building's operations and leases, including building depreciation and operating expenses for space occupied by tenants, as other expense, net in the condensed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lease income as of March 31, 2026 and December 31, 2025 was as follows (in millions):</w:t>
      </w:r>
    </w:p>
    <w:tbl>
      <w:tblPr>
        <w:tblW w:w="8006" w:type="dxa"/>
        <w:jc w:val="left"/>
        <w:tblInd w:w="0" w:type="dxa"/>
        <w:tblLayout w:type="fixed"/>
        <w:tblCellMar>
          <w:top w:w="28" w:type="dxa"/>
          <w:left w:w="28" w:type="dxa"/>
          <w:bottom w:w="28" w:type="dxa"/>
          <w:right w:w="28" w:type="dxa"/>
        </w:tblCellMar>
      </w:tblPr>
      <w:tblGrid>
        <w:gridCol w:w="853"/>
        <w:gridCol w:w="749"/>
        <w:gridCol w:w="753"/>
        <w:gridCol w:w="1013"/>
        <w:gridCol w:w="1013"/>
        <w:gridCol w:w="1018"/>
        <w:gridCol w:w="302"/>
        <w:gridCol w:w="517"/>
        <w:gridCol w:w="156"/>
        <w:gridCol w:w="109"/>
        <w:gridCol w:w="109"/>
        <w:gridCol w:w="109"/>
        <w:gridCol w:w="379"/>
        <w:gridCol w:w="649"/>
        <w:gridCol w:w="277"/>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w:t>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lease income</w:t>
            </w:r>
          </w:p>
        </w:tc>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Lease income includes base rent each tenant pays in accordance with the terms of its respective lease and is reported on a straight-line basis over the non-cancellable term of the lease, which includes the effects of periodic step-ups in rent and rent abatements under the lease. When a renewal option is included within the lease, the Company assesses whether the option is reasonably certain of being exercised against relevant economic factors to determine whether the option period should be included as part of the lease term. Further, lease income includes tenant reimbursement amounts for the recovery of the operating expenses and real estate taxes. Tenant reimbursements, which vary each period, are non-lease components that are not the predominant activity within the contract. The Company has elected the practical expedient that allows it to combine certain lease and non-lease components of operating leases. Non-lease components are recognized together with fixed base rent in “lease income” as variable lease income in the same period as the related expenses are in</w:t>
      </w:r>
      <w:r>
        <w:rPr>
          <w:rFonts w:ascii="Times New Roman;serif" w:hAnsi="Times New Roman;serif"/>
          <w:b w:val="false"/>
          <w:color w:val="000000"/>
          <w:sz w:val="20"/>
          <w:shd w:fill="FFFFFF" w:val="clear"/>
        </w:rPr>
        <w:t xml:space="preserve">curred. Variable lease income was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material for the three months ended March 31, 2026 and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xml:space="preserve">. Components of </w:t>
      </w:r>
      <w:r>
        <w:rPr>
          <w:rFonts w:ascii="Times New Roman;serif" w:hAnsi="Times New Roman;serif"/>
          <w:b w:val="false"/>
          <w:color w:val="000000"/>
          <w:sz w:val="20"/>
        </w:rPr>
        <w:t>other expense, net</w:t>
      </w:r>
      <w:r>
        <w:rPr>
          <w:color w:val="000000"/>
          <w:shd w:fill="FFFFFF" w:val="clear"/>
        </w:rPr>
        <w:t xml:space="preserve"> </w:t>
      </w:r>
      <w:r>
        <w:rPr>
          <w:rFonts w:ascii="Times New Roman;serif" w:hAnsi="Times New Roman;serif"/>
          <w:b w:val="false"/>
          <w:color w:val="000000"/>
          <w:sz w:val="20"/>
          <w:shd w:fill="FFFFFF" w:val="clear"/>
        </w:rPr>
        <w:t>related to leasing operations for the three months ended March 31, 2026 and 2025 were as follows (in millions):</w:t>
      </w:r>
    </w:p>
    <w:tbl>
      <w:tblPr>
        <w:tblW w:w="10205" w:type="dxa"/>
        <w:jc w:val="left"/>
        <w:tblInd w:w="0" w:type="dxa"/>
        <w:tblLayout w:type="fixed"/>
        <w:tblCellMar>
          <w:top w:w="28" w:type="dxa"/>
          <w:left w:w="28" w:type="dxa"/>
          <w:bottom w:w="28" w:type="dxa"/>
          <w:right w:w="28" w:type="dxa"/>
        </w:tblCellMar>
      </w:tblPr>
      <w:tblGrid>
        <w:gridCol w:w="2335"/>
        <w:gridCol w:w="2028"/>
        <w:gridCol w:w="2037"/>
        <w:gridCol w:w="441"/>
        <w:gridCol w:w="848"/>
        <w:gridCol w:w="225"/>
        <w:gridCol w:w="225"/>
        <w:gridCol w:w="225"/>
        <w:gridCol w:w="225"/>
        <w:gridCol w:w="441"/>
        <w:gridCol w:w="848"/>
        <w:gridCol w:w="327"/>
      </w:tblGrid>
      <w:tr>
        <w:trPr/>
        <w:tc>
          <w:tcPr>
            <w:tcW w:w="2335"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Lease income</w:t>
            </w:r>
            <w:r>
              <w:rPr>
                <w:rFonts w:ascii="Times New Roman;serif" w:hAnsi="Times New Roman;serif"/>
                <w:b w:val="false"/>
                <w:color w:val="000000"/>
                <w:sz w:val="13"/>
              </w:rPr>
              <w:t>(1)</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from leasing operations</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tc>
        <w:tc>
          <w:tcPr>
            <w:tcW w:w="15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$2 million and $1 million of amortization expense of above-market leases for the three months ended March 31, 2026 and 2025, respectively.</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Building depreciation and operating expenses for space occupied by the Company are allocated among cost of revenue, selling and marketing (excluding customer base amortization), software development, and general and administrative expenses on the condensed consolidated statements of operations based on the headcount of the respective departments occupying the building. As of March 31, 2026, the Company occupied approximately 50% of the property with the remainder leased or available to be leased to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Debt Issuance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Costs incurred in connection with the issuance of long-term debt are deferred and amortized as interest expense over the term of the related debt using the effective interest method for term debt and on a straight-line basis for revolving debt. The Company made a policy election to classify deferred issuance costs on the revolving credit facility as a long-term asset on its condensed consolidated balance sheets.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9 for further discussion of the Company's accounting for its outstanding debt, revolving credit facility, and related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includes the results of operations of the businesses that it acquires from the date of acquisition. The Company generally allocates the purchase consideration to the tangible assets acquired and liabilities assumed and intangible assets acquired based on their estimated fair values on the date of the acquisition. The purchase price is generally determined based on the fair value of the assets transferred, liabilities assumed, and equity interests issued, after considering any transactions that are separate from the business combination. The excess of the fair value of purchase consideration, the fair value of any NCI in the acquiree, and the fair value of any previous equity interest in the acquiree over the fair values of these identifiable assets and liabilities is recorded as goodwill. In a business combination achieved in stages, the Company shall remeasure its previously held equity interest in the acquiree at its acquisition-date fair value and recognize the resulting gain or loss, if any, in results of operations. The Company applies significant assumptions, estimates, and judgments in determining the fair value of assets acquired and liabilities assumed on the acquisition date, especially with respect to intangible assets and contingent liabilities. Significant estimates in valuing certain intangible assets include, but are not limited to, future expected cash flows from acquired customer bases, acquired technology, acquired trade names, useful lives, royalty rates, and discount rates. Estimates of fair value are based on assumptions believed to be reasonable, but which are inherently uncertain and unpredictable and, as a result, actual results may differ from estimates. Any adjustments to provisional amounts that are identified during the measurement period, not to exceed one year from the date of acquisition, are recorded in the reporting period in which the adjustment amounts are determined. Upon the conclusion of the measurement period, any subsequent adjustments are recorded to earnings.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has elected the practical expedient provided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which allows for contract assets and liabilities acquired or assumed in an acquisition to be measured in accordance with the accounting framework for revenue from contracts with customers as if the Company had originated the acquired contract. This is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exception to the general requirement to measure assets acquired and liabilities assumed at their fair value on the acquisition date.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given acquisition, the Company may identify certain pre-acquisition contingencies as of the acquisition date and may extend its review and evaluation of these pre-acquisition contingencies throughout the measurement period in order to obtain sufficient information to assess whether the Company includes these contingencies as part of the fair value estimates of assets acquired and liabilities assumed and, if so, to determine their estimated amounts.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cannot reasonably determine the fair value of a pre-acquisition contingency (non-income tax-related) by the end of the measurement period, which is generally the case given the nature of such matters, the Company will recognize an asset or a liability for such pre-acquisition contingency if: (i) 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uncertain tax positions and tax-related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tax-related valuation allowances will affect the Company's provision for income taxes in its condensed consolidated statements of operations and comprehensive income and could have a material impact on its results of operations and financial position.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 costs associated with business combinations are expensed as incurred and are included in general and administrative expenses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The Company adopted ASU No. 2025-05, </w:t>
      </w:r>
      <w:r>
        <w:rPr>
          <w:rFonts w:ascii="Times New Roman;serif" w:hAnsi="Times New Roman;serif"/>
          <w:b w:val="false"/>
          <w:i/>
          <w:color w:val="000000"/>
          <w:sz w:val="20"/>
        </w:rPr>
        <w:t xml:space="preserve">Financial Instruments—Credit Losses (Topic 326): Measurement of Credit Losses for Accounts Receivable and Contract Assets </w:t>
      </w:r>
      <w:r>
        <w:rPr>
          <w:rFonts w:ascii="Times New Roman;serif" w:hAnsi="Times New Roman;serif"/>
          <w:b w:val="false"/>
          <w:color w:val="000000"/>
          <w:sz w:val="20"/>
        </w:rPr>
        <w:t>effective January 1, 2026. This ASU provides a practical expedient for estimating expected credit losses on current accounts receivable and current contract assets arising from transactions accounted for under ASC 606. Under the expedient, entities may assume that current conditions as of the balance sheet date do not change for the remaining life of the asset when developing reasonable and supportable forecasts as part of estimating expected credit losses. The Company adopted the ASU effective January 1, 2026 on a prospective basis and elected the practical expedient for the calculation of current expected credit losses. The adoption did not result in a material impact on the Company's condensed consolidated financial statements and related disclosures.</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w:t>
      </w:r>
      <w:r>
        <w:rPr>
          <w:rFonts w:ascii="Times New Roman;serif" w:hAnsi="Times New Roman;serif"/>
          <w:b w:val="false"/>
          <w:color w:val="000000"/>
          <w:sz w:val="20"/>
        </w:rPr>
        <w:t xml:space="preserve">(Subtopic 220-40):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The ASU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 (Topic 805) and Consolidation (Topic 810): Determining the Accounting Acquirer in the Acquisition of a Variable Interest Entity</w:t>
      </w:r>
      <w:r>
        <w:rPr>
          <w:rFonts w:ascii="Times New Roman;serif" w:hAnsi="Times New Roman;serif"/>
          <w:b w:val="false"/>
          <w:color w:val="000000"/>
          <w:sz w:val="20"/>
        </w:rPr>
        <w:t xml:space="preserve">. The ASU revises current guidance for determining the accounting acquirer for a transaction effected primarily by exchanging equity interests in which the legal acquiree is a VIE that meets the definition of a business. The amendments differ from current GAAP because, for certain transactions, they replace the requirement that the primary beneficiary of a VIE is always the acquirer with an assessment that requires an entity to consider the factors to determine which entity is the accounting acquirer. Under the amendments, acquisition transactions in which the legal acquiree is a VIE will, in more instances, result in the same accounting outcomes as economically similar transactions in which the legal acquiree is a voting interest entity. The ASU does not change the accounting for a transaction determined to be a reverse acquisition or a transaction in which the legal acquirer is not a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and is determined to be the accounting acquiree. The new guidance will become effective for interim and annual reporting periods beginning on January 1, 2027, will require a prospective transition method for business combinations that occur after the initial adoption date, and early adoption is permitted. Management is currently evaluating this ASU to determine its impact on the Company's disclosures.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The ASU eliminates all references to prescriptive and sequential software project stages throughout Subtopic 350-40. An entity is required to begin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The ASU is effective for annual reporting periods beginning after December 15, 2027 and interim reporting periods within those annual reporting periods. Entities may adopt the new guidance using a prospective transition approach, a modified transition approach that is based on the status of the project and whether software costs were capitalized before the date of adoption, or a retrospective transition approach. Early adoption is permitted as of the beginning of an annual reporting period. The Company is currently evaluating the impact this ASU will have on its consolidated financial statements and related disclosures.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In December 2025, the FASB issued ASU No. 2025</w:t>
        <w:noBreakHyphen/>
        <w:t xml:space="preserve">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xml:space="preserve">. The ASU provides technical corrections and clarifications to various topics, including diluted earnings per share, the transfer of receivables from contracts with customers, among other improvements. The ASU is effective for annual reporting periods beginning after December 15, 2026, and interim reporting periods within those annual periods. Early adoption is permitted in an interim or annual period in which financial statements have not yet been issued or made available for issuance. The Company is currently evaluating the impact this ASU will have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lineRule="auto" w:line="288" w:before="16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by operating segment and type of service consists of the following (in millions):</w:t>
      </w:r>
    </w:p>
    <w:tbl>
      <w:tblPr>
        <w:tblW w:w="5396" w:type="dxa"/>
        <w:jc w:val="left"/>
        <w:tblInd w:w="0" w:type="dxa"/>
        <w:tblLayout w:type="fixed"/>
        <w:tblCellMar>
          <w:top w:w="28" w:type="dxa"/>
          <w:left w:w="28" w:type="dxa"/>
          <w:bottom w:w="28" w:type="dxa"/>
          <w:right w:w="28" w:type="dxa"/>
        </w:tblCellMar>
      </w:tblPr>
      <w:tblGrid>
        <w:gridCol w:w="928"/>
        <w:gridCol w:w="817"/>
        <w:gridCol w:w="819"/>
        <w:gridCol w:w="307"/>
        <w:gridCol w:w="679"/>
        <w:gridCol w:w="159"/>
        <w:gridCol w:w="159"/>
        <w:gridCol w:w="159"/>
        <w:gridCol w:w="159"/>
        <w:gridCol w:w="307"/>
        <w:gridCol w:w="679"/>
        <w:gridCol w:w="22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recast certain prior period disclosures to align with the way it internally manages the business. See Note 2 for additional information.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domiciled in the U.S. and revenue earned outside the U.S. was $137 million and $48 million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COSTAR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 (unaudited)</w:t>
      </w:r>
    </w:p>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Deferred Revenue</w:t>
      </w:r>
    </w:p>
    <w:p>
      <w:pPr>
        <w:pStyle w:val="TextBody"/>
        <w:bidi w:val="0"/>
        <w:spacing w:lineRule="auto" w:line="288" w:before="0" w:after="200"/>
        <w:ind w:left="0" w:right="0" w:firstLine="360"/>
        <w:jc w:val="both"/>
        <w:rPr>
          <w:rFonts w:ascii="Times New Roman;serif" w:hAnsi="Times New Roman;serif"/>
          <w:b w:val="false"/>
          <w:color w:val="252525"/>
          <w:sz w:val="20"/>
          <w:shd w:fill="FFFFFF" w:val="clear"/>
        </w:rPr>
      </w:pPr>
      <w:r>
        <w:rPr>
          <w:rFonts w:ascii="Times New Roman;serif" w:hAnsi="Times New Roman;serif"/>
          <w:b w:val="false"/>
          <w:color w:val="252525"/>
          <w:sz w:val="20"/>
          <w:shd w:fill="FFFFFF" w:val="clear"/>
        </w:rPr>
        <w:t>Deferred revenue as of March 31, 2026 and December 31, 2025 was as follows (in millions):</w:t>
      </w:r>
    </w:p>
    <w:tbl>
      <w:tblPr>
        <w:tblW w:w="7600" w:type="dxa"/>
        <w:jc w:val="left"/>
        <w:tblInd w:w="0" w:type="dxa"/>
        <w:tblLayout w:type="fixed"/>
        <w:tblCellMar>
          <w:top w:w="28" w:type="dxa"/>
          <w:left w:w="28" w:type="dxa"/>
          <w:bottom w:w="28" w:type="dxa"/>
          <w:right w:w="28" w:type="dxa"/>
        </w:tblCellMar>
      </w:tblPr>
      <w:tblGrid>
        <w:gridCol w:w="706"/>
        <w:gridCol w:w="620"/>
        <w:gridCol w:w="623"/>
        <w:gridCol w:w="1013"/>
        <w:gridCol w:w="1013"/>
        <w:gridCol w:w="1018"/>
        <w:gridCol w:w="262"/>
        <w:gridCol w:w="578"/>
        <w:gridCol w:w="135"/>
        <w:gridCol w:w="109"/>
        <w:gridCol w:w="109"/>
        <w:gridCol w:w="109"/>
        <w:gridCol w:w="331"/>
        <w:gridCol w:w="732"/>
        <w:gridCol w:w="242"/>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w:t>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revenue</w:t>
            </w:r>
          </w:p>
        </w:tc>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deferred revenue for the period were as follows (in millions):</w:t>
      </w:r>
    </w:p>
    <w:tbl>
      <w:tblPr>
        <w:tblW w:w="7835" w:type="dxa"/>
        <w:jc w:val="left"/>
        <w:tblInd w:w="0" w:type="dxa"/>
        <w:tblLayout w:type="fixed"/>
        <w:tblCellMar>
          <w:top w:w="28" w:type="dxa"/>
          <w:left w:w="28" w:type="dxa"/>
          <w:bottom w:w="28" w:type="dxa"/>
          <w:right w:w="28" w:type="dxa"/>
        </w:tblCellMar>
      </w:tblPr>
      <w:tblGrid>
        <w:gridCol w:w="2538"/>
        <w:gridCol w:w="2230"/>
        <w:gridCol w:w="2236"/>
        <w:gridCol w:w="211"/>
        <w:gridCol w:w="466"/>
        <w:gridCol w:w="154"/>
      </w:tblGrid>
      <w:tr>
        <w:trPr/>
        <w:tc>
          <w:tcPr>
            <w:tcW w:w="2538"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current period from the amounts in the beginning balance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deferrals, net of amounts recognized in the current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 Assets</w:t>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Contract assets are generated when contractual billing schedules differ from revenue recognition timing and represent a conditional right to consideration for satisfied performance obligations that becomes a receivable when the conditions are satisfied. Contract assets as of March 31, 2026 and December 31, 2025 were as follows (in millions):</w:t>
      </w:r>
    </w:p>
    <w:tbl>
      <w:tblPr>
        <w:tblW w:w="7811" w:type="dxa"/>
        <w:jc w:val="left"/>
        <w:tblInd w:w="0" w:type="dxa"/>
        <w:tblLayout w:type="fixed"/>
        <w:tblCellMar>
          <w:top w:w="28" w:type="dxa"/>
          <w:left w:w="28" w:type="dxa"/>
          <w:bottom w:w="28" w:type="dxa"/>
          <w:right w:w="28" w:type="dxa"/>
        </w:tblCellMar>
      </w:tblPr>
      <w:tblGrid>
        <w:gridCol w:w="641"/>
        <w:gridCol w:w="563"/>
        <w:gridCol w:w="566"/>
        <w:gridCol w:w="1143"/>
        <w:gridCol w:w="1143"/>
        <w:gridCol w:w="1148"/>
        <w:gridCol w:w="356"/>
        <w:gridCol w:w="433"/>
        <w:gridCol w:w="186"/>
        <w:gridCol w:w="109"/>
        <w:gridCol w:w="109"/>
        <w:gridCol w:w="109"/>
        <w:gridCol w:w="379"/>
        <w:gridCol w:w="649"/>
        <w:gridCol w:w="277"/>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w:t>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Caption</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w:t>
            </w:r>
          </w:p>
        </w:tc>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Unsatisfied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Remaining contract consideration for which revenue had not been recognized due to unsatisfied performance obligations was approximately $519 million at March 31, 2026, which the Company expects to recognize over the next five years. This amount does not include contract consideration for contracts with a duration of one year or less.</w:t>
      </w:r>
    </w:p>
    <w:p>
      <w:pPr>
        <w:pStyle w:val="TextBody"/>
        <w:bidi w:val="0"/>
        <w:spacing w:lineRule="auto" w:line="288" w:before="200" w:after="200"/>
        <w:ind w:left="0" w:right="0" w:firstLine="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Commissions</w:t>
      </w:r>
    </w:p>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Commissions expense is included in selling and marketing expense (excluding customer base amortization) in the Company's condensed consolidated statements of operations. Commissions expense activity for the three months ended March 31, 2026 and 2025 was as follows (in millions):</w:t>
      </w:r>
    </w:p>
    <w:tbl>
      <w:tblPr>
        <w:tblW w:w="6687" w:type="dxa"/>
        <w:jc w:val="left"/>
        <w:tblInd w:w="0" w:type="dxa"/>
        <w:tblLayout w:type="fixed"/>
        <w:tblCellMar>
          <w:top w:w="28" w:type="dxa"/>
          <w:left w:w="28" w:type="dxa"/>
          <w:bottom w:w="28" w:type="dxa"/>
          <w:right w:w="28" w:type="dxa"/>
        </w:tblCellMar>
      </w:tblPr>
      <w:tblGrid>
        <w:gridCol w:w="1394"/>
        <w:gridCol w:w="1227"/>
        <w:gridCol w:w="1233"/>
        <w:gridCol w:w="345"/>
        <w:gridCol w:w="590"/>
        <w:gridCol w:w="178"/>
        <w:gridCol w:w="178"/>
        <w:gridCol w:w="178"/>
        <w:gridCol w:w="178"/>
        <w:gridCol w:w="345"/>
        <w:gridCol w:w="590"/>
        <w:gridCol w:w="251"/>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incurred</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capitalized in the current period</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 costs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commissions expense</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did not recognize any impairment losses on commissions during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Domain</w:t>
      </w:r>
    </w:p>
    <w:p>
      <w:pPr>
        <w:pStyle w:val="TextBody"/>
        <w:bidi w:val="0"/>
        <w:spacing w:lineRule="auto" w:line="288" w:before="200" w:after="200"/>
        <w:ind w:left="0" w:right="0" w:firstLine="360"/>
        <w:jc w:val="both"/>
        <w:rPr/>
      </w:pPr>
      <w:r>
        <w:rPr>
          <w:rFonts w:ascii="Times New Roman;serif" w:hAnsi="Times New Roman;serif"/>
          <w:b w:val="false"/>
          <w:color w:val="000000"/>
          <w:sz w:val="20"/>
        </w:rPr>
        <w:t>In February 2025, in connection with the Domain Proposal, the Company acquired approximately 17% of the ordinary shares of Domain, one of Australia's leading property marketplaces, at A$4.20 per share for a total purchase price of A$452 million ($285 million). In May 2025, the Company entered into an agreement to acquire the remaining issued capital of Domain not previously held by CoStar Group by way of scheme of arr</w:t>
      </w:r>
      <w:r>
        <w:rPr>
          <w:rFonts w:ascii="Times New Roman;serif" w:hAnsi="Times New Roman;serif"/>
          <w:b w:val="false"/>
          <w:color w:val="000000"/>
          <w:sz w:val="20"/>
          <w:shd w:fill="FFFFFF" w:val="clear"/>
        </w:rPr>
        <w:t xml:space="preserve">angement. In August 2025, the Company completed the Domain Acquisition pursuant to which (i) the Company spent </w:t>
      </w:r>
      <w:r>
        <w:rPr>
          <w:rFonts w:ascii="Times New Roman;serif" w:hAnsi="Times New Roman;serif"/>
          <w:b w:val="false"/>
          <w:color w:val="000000"/>
          <w:sz w:val="20"/>
        </w:rPr>
        <w:t>A$2.5 billion</w:t>
      </w:r>
      <w:r>
        <w:rPr>
          <w:color w:val="000000"/>
          <w:shd w:fill="FFFFFF" w:val="clear"/>
        </w:rPr>
        <w:t xml:space="preserve"> </w:t>
      </w:r>
      <w:r>
        <w:rPr>
          <w:rFonts w:ascii="Times New Roman;serif" w:hAnsi="Times New Roman;serif"/>
          <w:b w:val="false"/>
          <w:color w:val="000000"/>
          <w:sz w:val="20"/>
          <w:shd w:fill="FFFFFF" w:val="clear"/>
        </w:rPr>
        <w:t xml:space="preserve">($1.6 billion) to </w:t>
      </w:r>
      <w:r>
        <w:rPr>
          <w:rFonts w:ascii="Times New Roman;serif" w:hAnsi="Times New Roman;serif"/>
          <w:b w:val="false"/>
          <w:color w:val="000000"/>
          <w:sz w:val="20"/>
        </w:rPr>
        <w:t>acquire the remaining 83% of Domain's ordinary shares; and (ii) Domain shareholders received total cash consideration of A$4.43 per Domain ordinary share, less a one-time special dividend of A$0.088 per share declared and paid by Domain prior to closing. The Domain Acquisition positions the Company to leverage Domain's portfolio of property brands in Australia and CoStar's technology, scale, and innovation to improve customer experience, value, and access to CoStar's brands and product offerings.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closing of the Domain Acquisition, the fair value of the Company's 17% investment was approximately A$465 million ($300 million), measured based on the fair value implied by the consideration transferred. The acquisition was completed as a step-acquisition.</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for the Domain Acquisition was $1.6 billion, which consisted of the following (in millions):</w:t>
      </w:r>
    </w:p>
    <w:tbl>
      <w:tblPr>
        <w:tblW w:w="7175" w:type="dxa"/>
        <w:jc w:val="left"/>
        <w:tblInd w:w="0" w:type="dxa"/>
        <w:tblLayout w:type="fixed"/>
        <w:tblCellMar>
          <w:top w:w="28" w:type="dxa"/>
          <w:left w:w="28" w:type="dxa"/>
          <w:bottom w:w="28" w:type="dxa"/>
          <w:right w:w="28" w:type="dxa"/>
        </w:tblCellMar>
      </w:tblPr>
      <w:tblGrid>
        <w:gridCol w:w="2231"/>
        <w:gridCol w:w="1963"/>
        <w:gridCol w:w="2000"/>
        <w:gridCol w:w="211"/>
        <w:gridCol w:w="616"/>
        <w:gridCol w:w="154"/>
      </w:tblGrid>
      <w:tr>
        <w:trPr/>
        <w:tc>
          <w:tcPr>
            <w:tcW w:w="223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existing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cash settled equity awards related to pre-combination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previously held equity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recorded for acquired assets and assumed liabilities recorded at their fair value as of the closing date of the Domain Acquisition (in millions):</w:t>
      </w:r>
    </w:p>
    <w:tbl>
      <w:tblPr>
        <w:tblW w:w="8294" w:type="dxa"/>
        <w:jc w:val="left"/>
        <w:tblInd w:w="0" w:type="dxa"/>
        <w:tblLayout w:type="fixed"/>
        <w:tblCellMar>
          <w:top w:w="28" w:type="dxa"/>
          <w:left w:w="28" w:type="dxa"/>
          <w:bottom w:w="28" w:type="dxa"/>
          <w:right w:w="28" w:type="dxa"/>
        </w:tblCellMar>
      </w:tblPr>
      <w:tblGrid>
        <w:gridCol w:w="1771"/>
        <w:gridCol w:w="1555"/>
        <w:gridCol w:w="1564"/>
        <w:gridCol w:w="731"/>
        <w:gridCol w:w="2136"/>
        <w:gridCol w:w="537"/>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Updated Preliminary: August 27, 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2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2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NCI in Domain’s partially-owned subsidiaries</w:t>
            </w:r>
          </w:p>
        </w:tc>
        <w:tc>
          <w:tcPr>
            <w:tcW w:w="2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5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the net assets of Domain were recorded at their estimated fair values upon initial consolidation. In valuing the acquired assets, assumed liabilities and NCI, fair value estimates were based primarily on future expected cash flows,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rate assumptions for contractual obligations, and appropriate discount rates. The key assumptions used in the valuation include discount rates, royalty rates, projected revenue growth rates, customer attrition rates, and profit margins.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is preliminary and subject to change during the measurement period as additional information is obtained about the facts and circumstances that existed at closing. Any material adjustments to provisional amounts identified during the measurement period will be recognized and disclosed in the reporting period in which the adjustment amounts are determined. The primary areas that remain subject to additional information include certain tax matters and contingencies.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(in millions) of the identifiable intangible assets acquired in the Domain Acquisition, their related estimated useful lives (in years), and their respective amortization methods:</w:t>
      </w:r>
    </w:p>
    <w:tbl>
      <w:tblPr>
        <w:tblW w:w="8466" w:type="dxa"/>
        <w:jc w:val="left"/>
        <w:tblInd w:w="0" w:type="dxa"/>
        <w:tblLayout w:type="fixed"/>
        <w:tblCellMar>
          <w:top w:w="28" w:type="dxa"/>
          <w:left w:w="28" w:type="dxa"/>
          <w:bottom w:w="28" w:type="dxa"/>
          <w:right w:w="28" w:type="dxa"/>
        </w:tblCellMar>
      </w:tblPr>
      <w:tblGrid>
        <w:gridCol w:w="722"/>
        <w:gridCol w:w="635"/>
        <w:gridCol w:w="637"/>
        <w:gridCol w:w="513"/>
        <w:gridCol w:w="1137"/>
        <w:gridCol w:w="269"/>
        <w:gridCol w:w="109"/>
        <w:gridCol w:w="109"/>
        <w:gridCol w:w="109"/>
        <w:gridCol w:w="639"/>
        <w:gridCol w:w="639"/>
        <w:gridCol w:w="641"/>
        <w:gridCol w:w="109"/>
        <w:gridCol w:w="109"/>
        <w:gridCol w:w="109"/>
        <w:gridCol w:w="580"/>
        <w:gridCol w:w="580"/>
        <w:gridCol w:w="820"/>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Amortization Method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and trade names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Domain Acquisition includes, but is not limited to: (i) the expected synergies and other benefits that the Company believes will result from combining Domain's operations with the Company's operations and (ii) any intangible assets that do not qualify for separate recognition, such as the assembled workforce. Of the $1,244 million of goodwill recorded as part of the Domain Acquisition, $994 million was allocated to Residential Real Estate and $250 million to Commercial Real Estate, of which none is expected to be deductible for income tax purposes. Transaction costs associated with the Domain Acquisition were $20 million for the year ended December 31, 2025 and consisted primarily of advisory, legal, accounting, and other professional service costs.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Matterport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28, 2025, the Company completed the Matterport Acquisition. Matterport is a leader in the digitization and datafication of the built world. Matterport’s pioneering technology has set the standard for digitizing, accessing, and managing buildings, spaces, and places online. Matterport’s platform, composed of innovative software, spatial data-driven data science, and 3D capture technology, has broken down the barriers that have kept the largest asset class in the world, buildings and physical spaces, offline and underutilized for so long. The Company is integrating Matterport's 3D digital twin technology with its information service products and online marketplaces to allow buyers, sellers, and renters to explore properties with greater depth and insight.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and conditions of the Matterport Merger Agreement, the Company acquired Matterport, with each share of Matterport Common Stock outstanding immediately prior to the closing of the Matterport Acquisition exchanged for (i) 0.03552 of a CoStar Group Share, the Matterport Merger Exchange Ratio, and (ii) $2.75 in cash, with fractional shares of CoStar Group Shares paid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Matterport Acquisition, the Company issued certain rollover equity awards to the employees of Matterport, which included approximately 2.3 million shares of restricted stock units and approximately 1.8 million stock option awards. The total fair value of the rollover equity awards was $273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for the Matterport Acquisition was $1.9 billion, which consisted of the following (in millions):</w:t>
      </w:r>
    </w:p>
    <w:tbl>
      <w:tblPr>
        <w:tblW w:w="4491" w:type="dxa"/>
        <w:jc w:val="left"/>
        <w:tblInd w:w="0" w:type="dxa"/>
        <w:tblLayout w:type="fixed"/>
        <w:tblCellMar>
          <w:top w:w="28" w:type="dxa"/>
          <w:left w:w="28" w:type="dxa"/>
          <w:bottom w:w="28" w:type="dxa"/>
          <w:right w:w="28" w:type="dxa"/>
        </w:tblCellMar>
      </w:tblPr>
      <w:tblGrid>
        <w:gridCol w:w="1266"/>
        <w:gridCol w:w="1110"/>
        <w:gridCol w:w="1134"/>
        <w:gridCol w:w="211"/>
        <w:gridCol w:w="61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CoStar Group Shares (11.7 million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rollover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recorded for acquired assets and assumed liabilities recorded at their fair value as of the closing date of the Matterport Acquisition (in millions):</w:t>
      </w:r>
    </w:p>
    <w:tbl>
      <w:tblPr>
        <w:tblW w:w="6150" w:type="dxa"/>
        <w:jc w:val="left"/>
        <w:tblInd w:w="0" w:type="dxa"/>
        <w:tblLayout w:type="fixed"/>
        <w:tblCellMar>
          <w:top w:w="28" w:type="dxa"/>
          <w:left w:w="28" w:type="dxa"/>
          <w:bottom w:w="28" w:type="dxa"/>
          <w:right w:w="28" w:type="dxa"/>
        </w:tblCellMar>
      </w:tblPr>
      <w:tblGrid>
        <w:gridCol w:w="1402"/>
        <w:gridCol w:w="1231"/>
        <w:gridCol w:w="1237"/>
        <w:gridCol w:w="490"/>
        <w:gridCol w:w="1432"/>
        <w:gridCol w:w="358"/>
      </w:tblGrid>
      <w:tr>
        <w:trPr/>
        <w:tc>
          <w:tcPr>
            <w:tcW w:w="1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Final: February 28, 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for sale investments</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accrual</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net assets acquired</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the net assets of Matterport were recorded at their estimated fair values. In valuing the acquired assets and assumed liabilities,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(in millions) of the identifiable intangible assets acquired in the Matterport Acquisition, their related estimated useful lives (in years), and their respective amortization methods:</w:t>
      </w:r>
    </w:p>
    <w:tbl>
      <w:tblPr>
        <w:tblW w:w="8467" w:type="dxa"/>
        <w:jc w:val="left"/>
        <w:tblInd w:w="0" w:type="dxa"/>
        <w:tblLayout w:type="fixed"/>
        <w:tblCellMar>
          <w:top w:w="28" w:type="dxa"/>
          <w:left w:w="28" w:type="dxa"/>
          <w:bottom w:w="28" w:type="dxa"/>
          <w:right w:w="28" w:type="dxa"/>
        </w:tblCellMar>
      </w:tblPr>
      <w:tblGrid>
        <w:gridCol w:w="723"/>
        <w:gridCol w:w="634"/>
        <w:gridCol w:w="638"/>
        <w:gridCol w:w="513"/>
        <w:gridCol w:w="1137"/>
        <w:gridCol w:w="269"/>
        <w:gridCol w:w="109"/>
        <w:gridCol w:w="109"/>
        <w:gridCol w:w="109"/>
        <w:gridCol w:w="639"/>
        <w:gridCol w:w="639"/>
        <w:gridCol w:w="641"/>
        <w:gridCol w:w="109"/>
        <w:gridCol w:w="109"/>
        <w:gridCol w:w="109"/>
        <w:gridCol w:w="580"/>
        <w:gridCol w:w="580"/>
        <w:gridCol w:w="820"/>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Amortization Method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Matterport Acquisition includes, but is not limited to: (i) the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synergies and other benefits that the Company believes will result from combining Matterport's operations with the Company's operations and (ii) any intangible assets that do not qualify for separate recognition, such as the assembled workforce. The $1.1 billion of goodwill recorded as part of the Matterport Acquisition was associated with the Company's North America operating segment prior to the reallocation described in Note 2, of which none is expected to be deductible for income tax purposes. Transaction costs associated with Matterport Acquisition were $18 million during the three months ended March 31, 2025, and consist primarily of legal, accounting, and other professional service costs.</w:t>
      </w:r>
    </w:p>
    <w:p>
      <w:pPr>
        <w:pStyle w:val="TextBody"/>
        <w:bidi w:val="0"/>
        <w:spacing w:lineRule="auto" w:line="288" w:before="200" w:after="200"/>
        <w:ind w:left="0" w:right="0" w:firstLine="360"/>
        <w:jc w:val="left"/>
        <w:rPr>
          <w:rFonts w:ascii="Times New Roman;serif" w:hAnsi="Times New Roman;serif"/>
          <w:b/>
          <w:i/>
          <w:color w:val="000000"/>
          <w:sz w:val="20"/>
        </w:rPr>
      </w:pPr>
      <w:r>
        <w:rPr>
          <w:rFonts w:ascii="Times New Roman;serif" w:hAnsi="Times New Roman;serif"/>
          <w:b/>
          <w:i/>
          <w:color w:val="000000"/>
          <w:sz w:val="20"/>
        </w:rPr>
        <w:t>Pro Forma Financial Information (unaudited)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financial information presented below reflects the condensed consolidated results of operations of the Company assuming both the Domain Acquisition and Matterport Acquisition had taken place on January 1, 2024. The unaudited pro forma financial information, as presented below, is for informational purposes only and is not necessarily indicative of the results of operations that would have been achieved if the acquisitions had not taken place on the dates listed above.</w:t>
      </w:r>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unaudited pro forma financial information, in the aggregate, was as follows (in millions):</w:t>
      </w:r>
    </w:p>
    <w:tbl>
      <w:tblPr>
        <w:tblW w:w="4080" w:type="dxa"/>
        <w:jc w:val="left"/>
        <w:tblInd w:w="0" w:type="dxa"/>
        <w:tblLayout w:type="fixed"/>
        <w:tblCellMar>
          <w:top w:w="28" w:type="dxa"/>
          <w:left w:w="28" w:type="dxa"/>
          <w:bottom w:w="28" w:type="dxa"/>
          <w:right w:w="28" w:type="dxa"/>
        </w:tblCellMar>
      </w:tblPr>
      <w:tblGrid>
        <w:gridCol w:w="304"/>
        <w:gridCol w:w="268"/>
        <w:gridCol w:w="269"/>
        <w:gridCol w:w="822"/>
        <w:gridCol w:w="1817"/>
        <w:gridCol w:w="600"/>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pro forma adjustments primarily consist of incremental amortization expense based on the preliminary fair value of the intangible assets acquired, increased compensation expense relating to the issuance of certain equity plans in connection with the acquisitions, accounting policy alignment adjustments, and the income tax impact of the aforementioned pro forma adjustments.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impact of the Matterport Acquisition on the Company's revenue and net loss in the condensed consolidated statements of operations from February 28, 2025 through March 31, 2025 was $16 million and $13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5.    INVESTMENTS AND FAIR VALUE MEASUREMENTS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categorizes assets and liabilities recorded or disclosed at fair value on the condensed consolidated balance sheets based upon the level of judgment associated with inputs used to measure their fair value. The categories are as follows: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Level 1 </w:t>
      </w:r>
      <w:r>
        <w:rPr>
          <w:rFonts w:ascii="Times New Roman;serif" w:hAnsi="Times New Roman;serif"/>
          <w:b w:val="false"/>
          <w:color w:val="000000"/>
          <w:sz w:val="20"/>
        </w:rPr>
        <w:t>- Observable inputs such as quoted prices in active markets for identical assets or liabilities.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Level 2 </w:t>
      </w:r>
      <w:r>
        <w:rPr>
          <w:rFonts w:ascii="Times New Roman;serif" w:hAnsi="Times New Roman;serif"/>
          <w:b w:val="false"/>
          <w:color w:val="000000"/>
          <w:sz w:val="20"/>
        </w:rPr>
        <w:t>- Inputs other than quoted prices in active markets that are either directly or indirectly observable.</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Level 3 </w:t>
      </w:r>
      <w:r>
        <w:rPr>
          <w:rFonts w:ascii="Times New Roman;serif" w:hAnsi="Times New Roman;serif"/>
          <w:b w:val="false"/>
          <w:color w:val="000000"/>
          <w:sz w:val="20"/>
        </w:rPr>
        <w:t>- Unobservable inputs for which little or no market data exists, therefore requiring an entity to develop its own assumptions.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comprised Level 1 cash equivalents with original maturities of three months or less in the amount of $1.0 billion and $1.4 billion as of March 31, 2026 and December 31, 2025, respectively. The Company had no Level 2 or Level 3 financial assets measured at fair value as of March 31, 2026 and December 31, 2025.</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Available-for-Sale Debt Securities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Matterport Acquisition, the Company acquired $204 million of available-for-sale debt securities, inclusive of $2 million of accrued interest. These securities were sold for net proceeds of $203 million, resulting in a negligible realized loss in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Other Financial Instruments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 holds other financial instruments, including cash deposits, accounts receivable, accounts payable, accrued expenses, and Senior Notes. The carrying value for such financial instruments, other than the Senior Notes, each approximated their fair values as of both March 31, 2026 and December 31, 2025. The estimated fair val</w:t>
      </w:r>
      <w:r>
        <w:rPr>
          <w:rFonts w:ascii="Times New Roman;serif" w:hAnsi="Times New Roman;serif"/>
          <w:b w:val="false"/>
          <w:color w:val="000000"/>
          <w:sz w:val="20"/>
          <w:shd w:fill="FFFFFF" w:val="clear"/>
        </w:rPr>
        <w:t>ue</w:t>
      </w:r>
      <w:r>
        <w:rPr>
          <w:color w:val="000000"/>
        </w:rPr>
        <w:t xml:space="preserve"> </w:t>
      </w:r>
      <w:r>
        <w:rPr>
          <w:rFonts w:ascii="Times New Roman;serif" w:hAnsi="Times New Roman;serif"/>
          <w:b w:val="false"/>
          <w:color w:val="000000"/>
          <w:sz w:val="20"/>
        </w:rPr>
        <w:t>of the Company's outstanding Senior Notes using quoted prices from the over-the-counter markets, considered Level 2 inputs, was $900 million</w:t>
      </w:r>
      <w:r>
        <w:rPr>
          <w:color w:val="000000"/>
          <w:shd w:fill="FFFFFF" w:val="clear"/>
        </w:rPr>
        <w:t xml:space="preserve"> </w:t>
      </w:r>
      <w:r>
        <w:rPr>
          <w:rFonts w:ascii="Times New Roman;serif" w:hAnsi="Times New Roman;serif"/>
          <w:b w:val="false"/>
          <w:color w:val="000000"/>
          <w:sz w:val="20"/>
          <w:shd w:fill="FFFFFF" w:val="clear"/>
        </w:rPr>
        <w:t>as of both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operating and finance leases for its office facilities, data centers, and certain vehicles. The Company's leases have remaining terms up to nine years. The leases contain various renewal and termination options. The period that is subject to an option to extend the lease is included in the lease term if it is reasonably certain that the option will be exercised. The period that is subject to an option to terminate the lease is included if it is reasonably certain that the option will not be exercised.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costs related to the Company's operating and finance leases included in the condensed consolidated statements of operations were as follows (in millions):</w:t>
      </w:r>
    </w:p>
    <w:tbl>
      <w:tblPr>
        <w:tblW w:w="7088" w:type="dxa"/>
        <w:jc w:val="left"/>
        <w:tblInd w:w="0" w:type="dxa"/>
        <w:tblLayout w:type="fixed"/>
        <w:tblCellMar>
          <w:top w:w="28" w:type="dxa"/>
          <w:left w:w="28" w:type="dxa"/>
          <w:bottom w:w="28" w:type="dxa"/>
          <w:right w:w="28" w:type="dxa"/>
        </w:tblCellMar>
      </w:tblPr>
      <w:tblGrid>
        <w:gridCol w:w="1873"/>
        <w:gridCol w:w="1645"/>
        <w:gridCol w:w="1656"/>
        <w:gridCol w:w="233"/>
        <w:gridCol w:w="399"/>
        <w:gridCol w:w="120"/>
        <w:gridCol w:w="120"/>
        <w:gridCol w:w="120"/>
        <w:gridCol w:w="120"/>
        <w:gridCol w:w="233"/>
        <w:gridCol w:w="399"/>
        <w:gridCol w:w="170"/>
      </w:tblGrid>
      <w:tr>
        <w:trPr/>
        <w:tc>
          <w:tcPr>
            <w:tcW w:w="187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17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7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finance lease costs</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Finance lease costs primarily relate to vehicles used by the Company's research teams, and the amortization of the ROU assets is recorded to cost of revenue in the condensed consolidated statements of operations. The impact of lease costs related to short-term leases was not material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was as follows (in millions):</w:t>
      </w:r>
    </w:p>
    <w:tbl>
      <w:tblPr>
        <w:tblW w:w="10121" w:type="dxa"/>
        <w:jc w:val="left"/>
        <w:tblInd w:w="0" w:type="dxa"/>
        <w:tblLayout w:type="fixed"/>
        <w:tblCellMar>
          <w:top w:w="28" w:type="dxa"/>
          <w:left w:w="28" w:type="dxa"/>
          <w:bottom w:w="28" w:type="dxa"/>
          <w:right w:w="28" w:type="dxa"/>
        </w:tblCellMar>
      </w:tblPr>
      <w:tblGrid>
        <w:gridCol w:w="1450"/>
        <w:gridCol w:w="1272"/>
        <w:gridCol w:w="1283"/>
        <w:gridCol w:w="1014"/>
        <w:gridCol w:w="1014"/>
        <w:gridCol w:w="1017"/>
        <w:gridCol w:w="347"/>
        <w:gridCol w:w="179"/>
        <w:gridCol w:w="449"/>
        <w:gridCol w:w="109"/>
        <w:gridCol w:w="109"/>
        <w:gridCol w:w="109"/>
        <w:gridCol w:w="586"/>
        <w:gridCol w:w="302"/>
        <w:gridCol w:w="881"/>
      </w:tblGrid>
      <w:tr>
        <w:trPr/>
        <w:tc>
          <w:tcPr>
            <w:tcW w:w="145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long-term liabilities</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millions):</w:t>
      </w:r>
    </w:p>
    <w:tbl>
      <w:tblPr>
        <w:tblW w:w="7779" w:type="dxa"/>
        <w:jc w:val="left"/>
        <w:tblInd w:w="0" w:type="dxa"/>
        <w:tblLayout w:type="fixed"/>
        <w:tblCellMar>
          <w:top w:w="28" w:type="dxa"/>
          <w:left w:w="28" w:type="dxa"/>
          <w:bottom w:w="28" w:type="dxa"/>
          <w:right w:w="28" w:type="dxa"/>
        </w:tblCellMar>
      </w:tblPr>
      <w:tblGrid>
        <w:gridCol w:w="2126"/>
        <w:gridCol w:w="1864"/>
        <w:gridCol w:w="1874"/>
        <w:gridCol w:w="248"/>
        <w:gridCol w:w="301"/>
        <w:gridCol w:w="128"/>
        <w:gridCol w:w="128"/>
        <w:gridCol w:w="128"/>
        <w:gridCol w:w="128"/>
        <w:gridCol w:w="248"/>
        <w:gridCol w:w="425"/>
        <w:gridCol w:w="181"/>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in operating leases</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used in finance leases</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lease obligations: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7.    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operating segment consist of the following (in millions):</w:t>
      </w:r>
    </w:p>
    <w:tbl>
      <w:tblPr>
        <w:tblW w:w="10205" w:type="dxa"/>
        <w:jc w:val="left"/>
        <w:tblInd w:w="0" w:type="dxa"/>
        <w:tblLayout w:type="fixed"/>
        <w:tblCellMar>
          <w:top w:w="28" w:type="dxa"/>
          <w:left w:w="28" w:type="dxa"/>
          <w:bottom w:w="28" w:type="dxa"/>
          <w:right w:w="28" w:type="dxa"/>
        </w:tblCellMar>
      </w:tblPr>
      <w:tblGrid>
        <w:gridCol w:w="1658"/>
        <w:gridCol w:w="1443"/>
        <w:gridCol w:w="1453"/>
        <w:gridCol w:w="476"/>
        <w:gridCol w:w="1395"/>
        <w:gridCol w:w="249"/>
        <w:gridCol w:w="109"/>
        <w:gridCol w:w="109"/>
        <w:gridCol w:w="109"/>
        <w:gridCol w:w="618"/>
        <w:gridCol w:w="1061"/>
        <w:gridCol w:w="321"/>
        <w:gridCol w:w="109"/>
        <w:gridCol w:w="109"/>
        <w:gridCol w:w="109"/>
        <w:gridCol w:w="308"/>
        <w:gridCol w:w="308"/>
        <w:gridCol w:w="261"/>
      </w:tblGrid>
      <w:tr>
        <w:trPr/>
        <w:tc>
          <w:tcPr>
            <w:tcW w:w="165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Residential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December 31, 2025</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including measurement period adjustments</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March 31, 2026</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impairment losses on goodwill during the three months ended March 31,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8.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millions, except amortization period data):</w:t>
      </w:r>
    </w:p>
    <w:tbl>
      <w:tblPr>
        <w:tblW w:w="8873" w:type="dxa"/>
        <w:jc w:val="left"/>
        <w:tblInd w:w="0" w:type="dxa"/>
        <w:tblLayout w:type="fixed"/>
        <w:tblCellMar>
          <w:top w:w="28" w:type="dxa"/>
          <w:left w:w="28" w:type="dxa"/>
          <w:bottom w:w="28" w:type="dxa"/>
          <w:right w:w="28" w:type="dxa"/>
        </w:tblCellMar>
      </w:tblPr>
      <w:tblGrid>
        <w:gridCol w:w="1604"/>
        <w:gridCol w:w="1406"/>
        <w:gridCol w:w="1414"/>
        <w:gridCol w:w="220"/>
        <w:gridCol w:w="642"/>
        <w:gridCol w:w="113"/>
        <w:gridCol w:w="109"/>
        <w:gridCol w:w="109"/>
        <w:gridCol w:w="109"/>
        <w:gridCol w:w="283"/>
        <w:gridCol w:w="829"/>
        <w:gridCol w:w="148"/>
        <w:gridCol w:w="109"/>
        <w:gridCol w:w="109"/>
        <w:gridCol w:w="109"/>
        <w:gridCol w:w="457"/>
        <w:gridCol w:w="457"/>
        <w:gridCol w:w="646"/>
      </w:tblGrid>
      <w:tr>
        <w:trPr/>
        <w:tc>
          <w:tcPr>
            <w:tcW w:w="16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Amortization</w:t>
              <w:br/>
              <w:t>Period (in years)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 and data</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 and data, net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customer base</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customer base, net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trade names and other intangible assets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trade names and other intangible assets, net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above-market leases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above-market leases, net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in-place leases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in-place leases, net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reviewed for impairment whenever events or changes in circumstances indicate that the carrying value of such assets may not be recoverable. The Company did not recognize any impairment losses on intangible assets during the three months ended March 31, 2026 or 2025. During the three months ended March 31, 2026, the Company did not have any intangible assets that were fully amortized from the acquired intangible assets and accumulated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9.    LONG-TERM 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outstanding debt (in millions):</w:t>
      </w:r>
    </w:p>
    <w:tbl>
      <w:tblPr>
        <w:tblW w:w="8035" w:type="dxa"/>
        <w:jc w:val="left"/>
        <w:tblInd w:w="0" w:type="dxa"/>
        <w:tblLayout w:type="fixed"/>
        <w:tblCellMar>
          <w:top w:w="28" w:type="dxa"/>
          <w:left w:w="28" w:type="dxa"/>
          <w:bottom w:w="28" w:type="dxa"/>
          <w:right w:w="28" w:type="dxa"/>
        </w:tblCellMar>
      </w:tblPr>
      <w:tblGrid>
        <w:gridCol w:w="1630"/>
        <w:gridCol w:w="1432"/>
        <w:gridCol w:w="1438"/>
        <w:gridCol w:w="324"/>
        <w:gridCol w:w="948"/>
        <w:gridCol w:w="167"/>
        <w:gridCol w:w="109"/>
        <w:gridCol w:w="109"/>
        <w:gridCol w:w="109"/>
        <w:gridCol w:w="380"/>
        <w:gridCol w:w="1110"/>
        <w:gridCol w:w="279"/>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2.800% Senior Notes due July 15, 2030</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unamortized discount and issuance costs</w:t>
            </w:r>
          </w:p>
        </w:tc>
        <w:tc>
          <w:tcPr>
            <w:tcW w:w="12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2020, the Company issued $1.0 billion aggregate principal amount of 2.800% Senior Notes due July 15, 2030. The Senior Notes were sold to a group of financial institutions as initial purchasers who subsequently resold the Senior Notes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non-U.S. persons pursuant to Regulation S under the Securities Act, and to persons reasonably believed to be qualified institutional buyers pursuant to Rule 144A under the Securities Act at a purchase price equal to 99.921% of their principal amount. Interest on the Senior Notes is payable semi-annually in arrears on January 15 and July 15. The Senior Notes may be redeemed in whole or in part by the Company (a) at any time prior to April 15, 2030 at a redemption price equal to 100% of the principal amount of the Senior Notes, plus the Applicable Premium (as calculated in accordance with the indenture governing the Senior Notes), and any accrued and unpaid interest, if any, on the principal amount of Senior Notes being redeemed to, but excluding, the redemption date, and (b) on or after April 15, 2030 at a redemption price equal to 100% of the principal amount of the Senior Notes, plus any accrued and unpaid interest, if any, on the principal amount of Senior Notes being redeemed to, but excluding, the redemption date. The Company’s obligations under the Senior Notes are guaranteed on a senior, unsecured basis by the Company’s domestic wholly owned subsidiaries, and the indenture governing the Senior Notes contains covenants, events of default, and other customary provisions with which the Company was in compliance as of March 31, 2026.</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24, 2024, the Company entered into the 2024 Credit Agreement, which provides for a $1.1 billion revolving credit facility with a term of five years (maturing May 24, 2029) and a letter of credit sublimit of $20 million from a syndicate of financial institutions and issuing banks. The 2024 Credit Agreement replaces the Company's 2020 Credit Agreement.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bear interest at a floating rate, which can be, at the Company’s option, either (a) an alternate base rate plus an applicable rate ranging from 0.125% to 0.750% or (b) a Term SOFR, SONIA rate, or EURIBOR for the specified interest period plus an applicable rate ranging from 1.125% to 1.750%, in each case depending on the Company’s Debt Rating (as defined in the 2024 Credit Agreement).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Credit Agreement contains customary affirmative covenants for transactions of this type, including, among others, the provision of financial and other information to the administrative agent, notice to the administrative agent upon the occurrence of certain material events, preservation of existence, maintenance of properties, and compliance with laws, including environmental laws, subject to certain exceptions. The 2024 Credit Agreement contains customary negative covenants, including, among others, restrictions on the ability of the Company and its subsidiaries to merge and consolidate with other companies, restrictions on the ability of certain subsidiaries to incur indebtedness, and restrictions on the ability of the Company and certain subsidiaries to grant liens or security interests on assets, subject to certain exceptions. The 2024 Credit Agreement contains a financial maintenance covenant that requires the Company to maintain a Total Leverage Ratio (as defined in the 2024 Credit Agreement) of less than or equal to 4.50 to 1.00, tested at the end of each fiscal quarter. The 2024 Credit Agreement also provides for a number of customary events of default, including, among others: payment defaults to the lenders, voluntary and involuntary bankruptcy proceedings, covenant defaults, material inaccuracies of representations and warranties, cross-acceleration to other material indebtedness, certain change of control events, material money judgments, and other customary events of default. The occurrence of an event of default could result in the acceleration of obligations and the termination of lending commitments under the 2024 Credit Agreement. The Company was in compliance with the covenants in the 2024 Credit Agreement as of March 31, 2026. As of March 31, 2026, the Company had no amounts drawn under this facility.</w:t>
      </w:r>
    </w:p>
    <w:p>
      <w:pPr>
        <w:pStyle w:val="TextBody"/>
        <w:bidi w:val="0"/>
        <w:spacing w:lineRule="auto" w:line="288" w:before="14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$3 million of deferred debt issuance costs related to the revolving credit facility as of both March 31, 2026 and December 31, 2025. These amounts are included in deposits and other assets on the Company's condensed consolidated balance sheets.</w:t>
      </w:r>
    </w:p>
    <w:p>
      <w:pPr>
        <w:pStyle w:val="TextBody"/>
        <w:bidi w:val="0"/>
        <w:spacing w:lineRule="auto" w:line="276"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interest expense as follows (in millions):</w:t>
      </w:r>
    </w:p>
    <w:tbl>
      <w:tblPr>
        <w:tblW w:w="6686" w:type="dxa"/>
        <w:jc w:val="left"/>
        <w:tblInd w:w="0" w:type="dxa"/>
        <w:tblLayout w:type="fixed"/>
        <w:tblCellMar>
          <w:top w:w="28" w:type="dxa"/>
          <w:left w:w="28" w:type="dxa"/>
          <w:bottom w:w="28" w:type="dxa"/>
          <w:right w:w="28" w:type="dxa"/>
        </w:tblCellMar>
      </w:tblPr>
      <w:tblGrid>
        <w:gridCol w:w="1728"/>
        <w:gridCol w:w="1519"/>
        <w:gridCol w:w="1523"/>
        <w:gridCol w:w="265"/>
        <w:gridCol w:w="322"/>
        <w:gridCol w:w="137"/>
        <w:gridCol w:w="137"/>
        <w:gridCol w:w="137"/>
        <w:gridCol w:w="137"/>
        <w:gridCol w:w="265"/>
        <w:gridCol w:w="322"/>
        <w:gridCol w:w="194"/>
      </w:tblGrid>
      <w:tr>
        <w:trPr/>
        <w:tc>
          <w:tcPr>
            <w:tcW w:w="172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outstanding borrowings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Senior Notes discount and issuance costs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capitalized for construction in process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 fees and other</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income tax provision reflects an effective tax rate of approximately 74% and (114)% for the three months ended March 31, 2026 and 2025, respectively. The increase in the effective tax rate for the three months ended March 31, 2026 was primarily due to the Company generating pre-tax book income for the three months ended March 31, 2026, compared to an overall pre-tax book loss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Company's significant contractual obligations, including related payments due by period, as of March 31, 2026 (in millions):</w:t>
      </w:r>
    </w:p>
    <w:tbl>
      <w:tblPr>
        <w:tblW w:w="10205" w:type="dxa"/>
        <w:jc w:val="left"/>
        <w:tblInd w:w="0" w:type="dxa"/>
        <w:tblLayout w:type="fixed"/>
        <w:tblCellMar>
          <w:top w:w="28" w:type="dxa"/>
          <w:left w:w="28" w:type="dxa"/>
          <w:bottom w:w="28" w:type="dxa"/>
          <w:right w:w="28" w:type="dxa"/>
        </w:tblCellMar>
      </w:tblPr>
      <w:tblGrid>
        <w:gridCol w:w="628"/>
        <w:gridCol w:w="540"/>
        <w:gridCol w:w="541"/>
        <w:gridCol w:w="468"/>
        <w:gridCol w:w="1036"/>
        <w:gridCol w:w="242"/>
        <w:gridCol w:w="109"/>
        <w:gridCol w:w="109"/>
        <w:gridCol w:w="109"/>
        <w:gridCol w:w="509"/>
        <w:gridCol w:w="874"/>
        <w:gridCol w:w="264"/>
        <w:gridCol w:w="109"/>
        <w:gridCol w:w="109"/>
        <w:gridCol w:w="109"/>
        <w:gridCol w:w="466"/>
        <w:gridCol w:w="1363"/>
        <w:gridCol w:w="243"/>
        <w:gridCol w:w="109"/>
        <w:gridCol w:w="109"/>
        <w:gridCol w:w="109"/>
        <w:gridCol w:w="517"/>
        <w:gridCol w:w="1144"/>
        <w:gridCol w:w="389"/>
      </w:tblGrid>
      <w:tr>
        <w:trPr/>
        <w:tc>
          <w:tcPr>
            <w:tcW w:w="62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Long-term debt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Long-term debt interest payments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we have excluded from the table above additional operating leases that had not yet commenced with aggregate rent payments of $37 million. These operating leases will commence in the remainder of 2026 with lease terms of five to six years.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facilities under various non-cancelable operating leases, as well as data centers and vehicles under finance lease arrangements. The leases contain various renewal options.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6 for further discussion of the Company's lease commitments.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Currently, and from time to time, the Company is involved in litigation incidental to the conduct of its business. The Company records a provision for a liability when it is both probable that a liability has been incurred and the amount can be reasonably estimated. While it is reasonably possible that an unfavorable outcome may occur as a result of one or more of the Company’s current litigation matters, at this time, management has concluded that the resolutions of these matters are not expected to have a material effect on the Company's condensed consolidated financial position, future results of operations, or liquidity. Legal defense costs are expensed as incurred, except as set forth below.</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Matterport-Related Matters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2021, plaintiff William J. Brown, a former employee and a stockholder of Matterport, sued Matterport, Gores Holdings VI, Inc. (now known as Matterport, Inc.), Maker Merger Sub Inc., Maker Merger Sub II, LLC, and Matterport directors R.J. Pittman, David Gausebeck, Matt Bell, Peter Hebert, Jason Krikorian, Carlos Kokron, and Michael Gustafson (collectively, the “Brown Defendants”) in the Court of Chancery of the State of Delaware (the “Chancery Court”). Brown claimed that the Brown Defendants imposed invalid transfer restrictions on his shares of Matterport stock in connection with the Gores Merger transactions (the "Gores Transaction" and the Agreement and the Plan of Merger thereunder, the "Gores Merger Agreement") between Matterport, Inc. and Legacy Matterport (the “Transfer Restrictions”), and that Matterport’s board of directors violated their fiduciary duties in connection with a purportedly misleading letter of transmittal. An expedited trial regarding the facial validity of the Transfer Restrictions took place in December 2021. On January 11, 2022, the court issued a ruling that the Transfer Restrictions did not apply to Brown. Separate proceedings regarding Brown's remaining claims, including the amount of any damages suffered by Brown were the subject of the second phase of the case. Legacy Matterport's position was that Brown did not suffer any damages as he would have sold his shares as soon as possible after the Gores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Transaction closed had Legacy Matterport not prevented him from trading based on its application of the Transfer Restrictions. Trial was held in November 2023, and a post-trial hearing was held on February 22, 2024. On May 28, 2024, the court ruled that Matterport had a reasonable basis to deny the plaintiff’s November 2021 demand that the transfer restrictions be removed from his shares and that the plaintiff lacked standing as to whether the transfer restrictions complied with Delaware law. However, the court awarded Brown $79 million plus pre- and post-judgment interest as damages for losses caused by Matterport’s initial refusal to issue freely transferable shares (the “Brown Judgment”). On July 29, 2024, a notice of appeal to the court's ruling to the Delaware Supreme Court was filed. Brown filed a notice of cross-appeal on August 12, 2024. Oral argument on the appeal was heard on February 26, 2025. On April 22, 2025, the Delaware Supreme Court substantially affirmed the Chancery Court's $79 million damages award but reversed and remanded for additional proceedings on the manner in which post-judgment interest was calculated.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estimated a litigation accrual of $99 million as of March 31, 2026, considering the substantially-affirmed damages award and the Company's estimate of the expected interest award using the Chancery Court's previously determined interest methodology. This estimated litigation accrual is subject to change based on the Chancery Court's revised ruling. The Company anticipates the revised ruling will occur by the first half of 2026. The Company estimated additional interest of up to approximately $17 million could be awarded if the Chancery Court followed the methodology Brown previously argued and which was rejected. Subsequent to the Brown Judgment, on August 14, 2024, a litigation bond was posted, and Matterport transferred $95 million in cash as collateral into a designated insured interest-bearing account, which is classified as restricted cash on the Company’s condensed consolidated balance sheet as of March 31,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Brown judgment in May 2024, other former Legacy Matterport stockholders have filed complaints (the “Post-Brown Complaints”) in the Chancery Court alleging that they were prevented from trading their Matterport shares through invalid transfer restrictions. These complaints were filed as follows: on July 19, 2024 by Damien Leostic and William Schmitt; on August 16, 2024 by Greg Coombe; on September 19, 2024 by Build Legacy LLC, Build the Future Trust under agreement dated November 16, 2023, Penchant Capital LLC, Penchant Trust, and iRobot Corporation. On September 16, 2024, Kimberly Burdi-Dumas, a former Matterport employee, filed a putative class action complaint on behalf of all persons or entities who were stockholders of Legacy Matterport as of July 21, 2021, and who, pursuant to the Gores Transaction, were thereafter issued and held Matterport shares that were improperly restricted from being sold until January 18, 2022. On November 26, 2024, Schmitt amended his complaint to bring a class action on behalf of former members of Matterport who did not receive their shares immediately following the closing of Gores Transaction. On December 6, 2024, the Burdi-Dumas complaint was amended to include a second plaintiff, Janet Day, and additional claims. These cases have now been consolidated and coordinated. </w:t>
      </w:r>
    </w:p>
    <w:p>
      <w:pPr>
        <w:pStyle w:val="TextBody"/>
        <w:bidi w:val="0"/>
        <w:spacing w:lineRule="auto" w:line="288" w:before="12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monitors developments in these legal matters that could affect the estimate the Company may have previously accrued. As of March 31, 2026, there were no amounts accrued that the Company believes would be material to its financial position, except as noted above. Further, the range of reasonably possible losses in excess of accrued liabilities currently cannot be reasonably estimated, except as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business by product portfolios in two operating segments and two reportable segments, with the primary areas of measurement and decision-making being Commercial Real Estate and Residential Real Estate. Segment reporting is aligned with the internal reporting used by the CODM, which is the Company’s Chief Executive Officer. The CODM relies on a management reporting process that provides operating segment revenue, EBITDA, and Adjusted EBITDA for making decisions and assessing performance as the source of the Company’s reportable segments. EBITDA and Adjusted EBITDA are used by management internally to measure operating and management performance and to evaluate the business. The CODM does not review any information regarding total assets by operating segment.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results by segment include items that are directly attributable to each segment and shared expenses such as IT; corporate infrastructure, including facilities; finance; and legal expenses. Shared expenses are allocated based on revenue and headcount. There are no intersegment transactions. The impact of certain items that are not normal, recurring, cash operating expenses necessary to run the operating segment are removed to determine Adjusted EBITDA and include stock-based compensation, acquisition and integration costs, restructuring and related costs, and settlements and impairments.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recast certain prior period disclosures to align with its reportable segments. See Note 2 for additional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Summarized EBITDA and Adjusted EBITDA information by operating segment consists of the following (in millions):</w:t>
      </w:r>
    </w:p>
    <w:tbl>
      <w:tblPr>
        <w:tblW w:w="10205" w:type="dxa"/>
        <w:jc w:val="left"/>
        <w:tblInd w:w="0" w:type="dxa"/>
        <w:tblLayout w:type="fixed"/>
        <w:tblCellMar>
          <w:top w:w="28" w:type="dxa"/>
          <w:left w:w="28" w:type="dxa"/>
          <w:bottom w:w="28" w:type="dxa"/>
          <w:right w:w="28" w:type="dxa"/>
        </w:tblCellMar>
      </w:tblPr>
      <w:tblGrid>
        <w:gridCol w:w="670"/>
        <w:gridCol w:w="586"/>
        <w:gridCol w:w="532"/>
        <w:gridCol w:w="365"/>
        <w:gridCol w:w="786"/>
        <w:gridCol w:w="205"/>
        <w:gridCol w:w="109"/>
        <w:gridCol w:w="109"/>
        <w:gridCol w:w="109"/>
        <w:gridCol w:w="345"/>
        <w:gridCol w:w="743"/>
        <w:gridCol w:w="193"/>
        <w:gridCol w:w="109"/>
        <w:gridCol w:w="109"/>
        <w:gridCol w:w="109"/>
        <w:gridCol w:w="196"/>
        <w:gridCol w:w="421"/>
        <w:gridCol w:w="109"/>
        <w:gridCol w:w="109"/>
        <w:gridCol w:w="109"/>
        <w:gridCol w:w="109"/>
        <w:gridCol w:w="365"/>
        <w:gridCol w:w="786"/>
        <w:gridCol w:w="205"/>
        <w:gridCol w:w="109"/>
        <w:gridCol w:w="109"/>
        <w:gridCol w:w="109"/>
        <w:gridCol w:w="339"/>
        <w:gridCol w:w="754"/>
        <w:gridCol w:w="189"/>
        <w:gridCol w:w="109"/>
        <w:gridCol w:w="109"/>
        <w:gridCol w:w="109"/>
        <w:gridCol w:w="196"/>
        <w:gridCol w:w="421"/>
        <w:gridCol w:w="164"/>
      </w:tblGrid>
      <w:tr>
        <w:trPr/>
        <w:tc>
          <w:tcPr>
            <w:tcW w:w="67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78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Revenue</w:t>
            </w:r>
            <w:r>
              <w:rPr>
                <w:rFonts w:ascii="Times New Roman;serif" w:hAnsi="Times New Roman;serif"/>
                <w:b w:val="false"/>
                <w:color w:val="000000"/>
                <w:sz w:val="12"/>
              </w:rPr>
              <w:t>(1)</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(2)</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related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related costs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and impairments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See Note 3 for details of revenue disaggregated by segment.</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Excludes personnel costs.</w:t>
            </w:r>
          </w:p>
        </w:tc>
      </w:tr>
    </w:tbl>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summarizes stock-based compensation, which is a significant non-cash item included in the personnel costs above, by segment (in millions):</w:t>
      </w:r>
    </w:p>
    <w:tbl>
      <w:tblPr>
        <w:tblW w:w="3983" w:type="dxa"/>
        <w:jc w:val="left"/>
        <w:tblInd w:w="0" w:type="dxa"/>
        <w:tblLayout w:type="fixed"/>
        <w:tblCellMar>
          <w:top w:w="28" w:type="dxa"/>
          <w:left w:w="28" w:type="dxa"/>
          <w:bottom w:w="28" w:type="dxa"/>
          <w:right w:w="28" w:type="dxa"/>
        </w:tblCellMar>
      </w:tblPr>
      <w:tblGrid>
        <w:gridCol w:w="749"/>
        <w:gridCol w:w="659"/>
        <w:gridCol w:w="661"/>
        <w:gridCol w:w="233"/>
        <w:gridCol w:w="399"/>
        <w:gridCol w:w="120"/>
        <w:gridCol w:w="120"/>
        <w:gridCol w:w="120"/>
        <w:gridCol w:w="120"/>
        <w:gridCol w:w="233"/>
        <w:gridCol w:w="399"/>
        <w:gridCol w:w="170"/>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reconciliation of Adjusted EBITDA and EBITDA to income (loss) before income taxes consists of the following (in millions):</w:t>
      </w:r>
    </w:p>
    <w:tbl>
      <w:tblPr>
        <w:tblW w:w="10205" w:type="dxa"/>
        <w:jc w:val="left"/>
        <w:tblInd w:w="0" w:type="dxa"/>
        <w:tblLayout w:type="fixed"/>
        <w:tblCellMar>
          <w:top w:w="28" w:type="dxa"/>
          <w:left w:w="28" w:type="dxa"/>
          <w:bottom w:w="28" w:type="dxa"/>
          <w:right w:w="28" w:type="dxa"/>
        </w:tblCellMar>
      </w:tblPr>
      <w:tblGrid>
        <w:gridCol w:w="2645"/>
        <w:gridCol w:w="2287"/>
        <w:gridCol w:w="2261"/>
        <w:gridCol w:w="346"/>
        <w:gridCol w:w="763"/>
        <w:gridCol w:w="177"/>
        <w:gridCol w:w="177"/>
        <w:gridCol w:w="177"/>
        <w:gridCol w:w="177"/>
        <w:gridCol w:w="346"/>
        <w:gridCol w:w="592"/>
        <w:gridCol w:w="257"/>
      </w:tblGrid>
      <w:tr>
        <w:trPr/>
        <w:tc>
          <w:tcPr>
            <w:tcW w:w="2645"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7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719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costs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and impairments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in cost of revenue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in operating expenses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expense, net</w:t>
            </w:r>
            <w:r>
              <w:rPr>
                <w:rFonts w:ascii="Times New Roman;serif" w:hAnsi="Times New Roman;serif"/>
                <w:b w:val="false"/>
                <w:color w:val="000000"/>
                <w:sz w:val="13"/>
              </w:rPr>
              <w:t>(1)</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__________________________</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$5 million of depreciation and amortization expense including above-market lease amortization associated with lessor activities for the three months ended March 31, 2026 and 2025.</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13.    STOCKHOLDERS' EQUITY</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Prior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Board of Directors approved the Prior Stock Repurchase Program that authorizes the repurchase of up to $500 million of CoStar Group Shares. </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During the three months ended March 31, 2025, the Company repurchased </w:t>
      </w:r>
      <w:r>
        <w:rPr>
          <w:rFonts w:ascii="Times New Roman;serif" w:hAnsi="Times New Roman;serif"/>
          <w:b w:val="false"/>
          <w:color w:val="000000"/>
          <w:sz w:val="20"/>
          <w:shd w:fill="FFFFFF" w:val="clear"/>
        </w:rPr>
        <w:t>0.2 million</w:t>
      </w:r>
      <w:r>
        <w:rPr>
          <w:color w:val="000000"/>
        </w:rPr>
        <w:t xml:space="preserve"> </w:t>
      </w:r>
      <w:r>
        <w:rPr>
          <w:rFonts w:ascii="Times New Roman;serif" w:hAnsi="Times New Roman;serif"/>
          <w:b w:val="false"/>
          <w:color w:val="000000"/>
          <w:sz w:val="20"/>
        </w:rPr>
        <w:t>CoStar Group Shares for an aggregate cost of $19 million.</w:t>
      </w:r>
      <w:r>
        <w:rPr>
          <w:color w:val="000000"/>
          <w:shd w:fill="FFFFFF" w:val="clear"/>
        </w:rPr>
        <w:t xml:space="preserve"> </w:t>
      </w:r>
      <w:r>
        <w:rPr>
          <w:rFonts w:ascii="Times New Roman;serif" w:hAnsi="Times New Roman;serif"/>
          <w:b w:val="false"/>
          <w:color w:val="000000"/>
          <w:sz w:val="20"/>
          <w:shd w:fill="FFFFFF" w:val="clear"/>
        </w:rPr>
        <w:t xml:space="preserve">Subsequently, the Company completed the Prior Stock Repurchase Program, including the use of an accelerated share repurchase agreement entered into in November 2025. In total, the Company repurchased 7.1 million shares for an aggregate cost of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 xml:space="preserve">during 2025. The aggregate purchase price of </w:t>
      </w:r>
      <w:r>
        <w:rPr>
          <w:rFonts w:ascii="Times New Roman;serif" w:hAnsi="Times New Roman;serif"/>
          <w:b w:val="false"/>
          <w:color w:val="000000"/>
          <w:sz w:val="20"/>
        </w:rPr>
        <w:t>CoStar Group Shares</w:t>
      </w:r>
      <w:r>
        <w:rPr>
          <w:color w:val="000000"/>
          <w:shd w:fill="FFFFFF" w:val="clear"/>
        </w:rPr>
        <w:t xml:space="preserve"> </w:t>
      </w:r>
      <w:r>
        <w:rPr>
          <w:rFonts w:ascii="Times New Roman;serif" w:hAnsi="Times New Roman;serif"/>
          <w:b w:val="false"/>
          <w:color w:val="000000"/>
          <w:sz w:val="20"/>
          <w:shd w:fill="FFFFFF" w:val="clear"/>
        </w:rPr>
        <w:t>is recorded as treasury stock and presented as a reduction to stockholders' equity.</w:t>
      </w:r>
    </w:p>
    <w:p>
      <w:pPr>
        <w:pStyle w:val="TextBody"/>
        <w:bidi w:val="0"/>
        <w:spacing w:lineRule="auto" w:line="26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New Stock Repurchase Program</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Board of Directors approved a Stock Repurchase Program which authorizes, but does not obligate, the repurchase of up to $1.5 billion of CoStar Group Shares. Stock repurchases may be effected through open market repurchases in compliance with Rule 10b-18 under the Exchange Act or through a trading plan adopted in accordance with Rule 10b5-1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27, 2026, the Company entered into the 2026 ASR Agreement with a financial institution counterparty to repurchase $500 million of its outstanding common stock. The Company repurchased 11.2 million CoStar Group Shares during the term of the 2026 ASR Agreement based on the volume-weighted average price, net of discount, of $44.27 per share over the duration of the program, which was completed in March 2026.</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also repurchased $5 million of CoStar Group Shares pursuant to a 10b5-1 Plan, resulting in total repurchases of 11.4 million CoStar Group Shares for an aggregate cost of $505 million under the Stock Repurchase Program, including pursuant to the 2026 ASR Agreement. As of March 31, 2026, $995 million remains available for repurchases under the Stock Repurchase Program. Shares of common stock repurchased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jc w:val="both"/>
        <w:rPr/>
      </w:pPr>
      <w:r>
        <w:rPr>
          <w:rFonts w:ascii="Times New Roman;serif" w:hAnsi="Times New Roman;serif"/>
          <w:b w:val="false"/>
          <w:color w:val="000000"/>
          <w:sz w:val="20"/>
        </w:rPr>
        <w:t>Stock Repurchase Program become treasury stock and are</w:t>
      </w:r>
      <w:r>
        <w:rPr>
          <w:color w:val="000000"/>
          <w:shd w:fill="FFFFFF" w:val="clear"/>
        </w:rPr>
        <w:t xml:space="preserve"> </w:t>
      </w:r>
      <w:r>
        <w:rPr>
          <w:rFonts w:ascii="Times New Roman;serif" w:hAnsi="Times New Roman;serif"/>
          <w:b w:val="false"/>
          <w:color w:val="000000"/>
          <w:sz w:val="20"/>
          <w:shd w:fill="FFFFFF" w:val="clear"/>
        </w:rPr>
        <w:t>recorded as a reduction to stockholders' equity</w:t>
      </w:r>
      <w:r>
        <w:rPr>
          <w:color w:val="000000"/>
        </w:rPr>
        <w:t xml:space="preserve"> </w:t>
      </w:r>
      <w:r>
        <w:rPr>
          <w:rFonts w:ascii="Times New Roman;serif" w:hAnsi="Times New Roman;serif"/>
          <w:b w:val="false"/>
          <w:color w:val="000000"/>
          <w:sz w:val="20"/>
        </w:rPr>
        <w:t>when the transaction is settled. Direct costs incurred to acquire the shares are included in the total cost of the shares.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2.0 million shares of preferred stock, $0.01 par value, authorized for issuance. The Board of Directors may issue the preferred stock from time to time as shares of one or more classes or series.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1.2 billion CoStar Group Shares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14.    EMPLOYEE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Stock Incentive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2016, the Company's Board of Directors adopted the CoStar Group 2016 Stock Incentive Plan (as amended, the “2016 Plan”), subject to stockholder approval, which was obtained on June 9, 2016. On April 28, 2025, the Board of Directors approved the CoStar Group, Inc. 2025 Stock Incentive Plan (the “2025 Plan”), subject to stockholder approval, which was obtained on June 26, 2025. All shares of common stock that were authorized for issuance under the 2016 Plan that, as of April 28, 2025, remained available for issuance under the 2016 Plan (excluding shares subject to outstanding awards) were rolled into the 2025 Plan and, following stockholder approval of the 2025 Plan, no further grants will be made under the 2016 Plan.</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2025 Plan provides for the grant of stock options, restricted stock, restricted stock units, and stock appreciation rights to officers, employees, and directors of the Company and its subsidiaries. Stock options granted under the 2025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2025 Plan is determined by the Board of Directors or a committee thereof and is generally three to four years, subject to minimum vesting periods of at least one year. In some cases, vesting of awards under the 2025 Plan may be based on performance conditions. The Company initially reserved approximately 13.2 million shares of common stock for issuance under the 2025 Plan, which included shares of common stock that were authorized and remained available for issuance under the 2016 Plan as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April 28,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Any shares of common stock subject to (a) outstanding awards under the 2016 Plan as of April 28, 2025 or (b) outstanding awards under the 2025 Plan that cease for any reason to be subject to such awards (other than by reason of exercise or settlement of the awards to the extent they are exercised or settled in vested and nonforfeitable shares) will become authorized and unissued under the 2025 Plan. Unless terminated sooner, the 2025 Plan will terminate in June 2035, but will continue to govern unexercised and unexpired awards issued under the 2025 Plan prior to that date. Approximately 7.8 million shares were available for future grant under the 2025 Plan as of March 31,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Matterport Acquisition, the Company assumed Matterport's 2021 Incentive Award Plan and Matterport's Amended and Restated 2011 Stock Incentive Plan, including outstanding restricted stock units and stock options originally granted by Matterport under the Assumed Matterport Plans to continuing employees. These assumed awards will vest in accordance with their original terms, generally over four years. The Company does not intend to issue further grants under these plans. Shares forfeited due to employee termination or expiration are returned to the share pool. As of March 31, 2026, approximately 2.1 million shares remained available under the Assumed Matterport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there was approximately $299 million of unrecognized compensation cost related to stock incentive plans, net of estimated forfeitures, which the Company expects to recognize over a weighted-average-period of three years. See Note 2 for further discussion of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Option activity was as follows:</w:t>
      </w:r>
    </w:p>
    <w:tbl>
      <w:tblPr>
        <w:tblW w:w="8667" w:type="dxa"/>
        <w:jc w:val="left"/>
        <w:tblInd w:w="0" w:type="dxa"/>
        <w:tblLayout w:type="fixed"/>
        <w:tblCellMar>
          <w:top w:w="28" w:type="dxa"/>
          <w:left w:w="28" w:type="dxa"/>
          <w:bottom w:w="28" w:type="dxa"/>
          <w:right w:w="28" w:type="dxa"/>
        </w:tblCellMar>
      </w:tblPr>
      <w:tblGrid>
        <w:gridCol w:w="1065"/>
        <w:gridCol w:w="936"/>
        <w:gridCol w:w="938"/>
        <w:gridCol w:w="488"/>
        <w:gridCol w:w="488"/>
        <w:gridCol w:w="336"/>
        <w:gridCol w:w="109"/>
        <w:gridCol w:w="109"/>
        <w:gridCol w:w="109"/>
        <w:gridCol w:w="220"/>
        <w:gridCol w:w="642"/>
        <w:gridCol w:w="114"/>
        <w:gridCol w:w="109"/>
        <w:gridCol w:w="109"/>
        <w:gridCol w:w="109"/>
        <w:gridCol w:w="429"/>
        <w:gridCol w:w="429"/>
        <w:gridCol w:w="431"/>
        <w:gridCol w:w="109"/>
        <w:gridCol w:w="109"/>
        <w:gridCol w:w="109"/>
        <w:gridCol w:w="297"/>
        <w:gridCol w:w="655"/>
        <w:gridCol w:w="218"/>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br/>
              <w:t>(in millions)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3,203,725 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(887,901)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2,315,824 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2,123,056 </w:t>
            </w:r>
          </w:p>
        </w:tc>
        <w:tc>
          <w:tcPr>
            <w:tcW w:w="3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stock options granted during the three months ended March 31, 2026. The Company uses the Black-Scholes option pricing model to estimate the fair value of the option awards. The table below summarizes the resulting weighted average inputs used to calculate the estimated fair value of options awarded for the three months ended March 31, 2025:</w:t>
      </w:r>
    </w:p>
    <w:tbl>
      <w:tblPr>
        <w:tblW w:w="5189" w:type="dxa"/>
        <w:jc w:val="left"/>
        <w:tblInd w:w="0" w:type="dxa"/>
        <w:tblLayout w:type="fixed"/>
        <w:tblCellMar>
          <w:top w:w="28" w:type="dxa"/>
          <w:left w:w="28" w:type="dxa"/>
          <w:bottom w:w="28" w:type="dxa"/>
          <w:right w:w="28" w:type="dxa"/>
        </w:tblCellMar>
      </w:tblPr>
      <w:tblGrid>
        <w:gridCol w:w="1183"/>
        <w:gridCol w:w="1042"/>
        <w:gridCol w:w="1044"/>
        <w:gridCol w:w="637"/>
        <w:gridCol w:w="327"/>
        <w:gridCol w:w="956"/>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9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9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6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Company's common stock over a period consistent with the expected life of the options granted. The risk-free interest rate is based on the U.S. Treasury rate with terms similar to the expected life of the options granted. The expected life for the options is determined based on multiple factors, including historical employee behavior patterns of exercising options and post-employment termination behavior as well as expected future employee option exercise patterns.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Restricted Stock Awards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February 2026, the Company granted restricted common stock to certain executive officers, directors, and employees of the Company which vest over a specific service period. Executive officers also received restricted common stock that vests based on the achievement of certain operating performance goals over a three-year performance period. The grant of awards with performance conditions supported the Company’s goal of aligning executive incentives with long-term stockholder value and ensuring that executive officers have a continuing stake in the long-term success of the Company.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vesting of restricted common stock is subject to continuing employment requirements. Certain performance-based restricted common stock awards are also subject to a market condition such that the actual number of shares that vest at the end of the respective three-year period is determined based on the Company’s achievement of performance goals and an established Company specific TSR factor relative to the S&amp;P 500 Index over the same three-year performance period. At the end of the three-year performance period, if the performance condition is achieved at or above the pre-established threshold, the number of shares earned is further adjusted by a TSR payout percentage, which ranges between 80% and 120%, based on the Company’s TSR performance relative to that of S&amp;P 500 Index over the respective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performance-based restricted stock awards with market conditions granted during the three months ended March 31, 2026. The Company estimates the fair value of its performance-based restricted stock awards with market conditions on the date of grant using a Monte-Carlo simulation valuation model. This pricing model uses multiple simulations to evaluate the probability of achieving the market condition to calculate the fair value of the awards. Expense is only recorded for awards that are expected to vest, net of estimated forfeitures. The assumptions used to estimate the fair value of performance-based restricted stock awards with market conditions granted in the three months ended March 31, 2025 were as follows:</w:t>
      </w:r>
    </w:p>
    <w:tbl>
      <w:tblPr>
        <w:tblW w:w="5189" w:type="dxa"/>
        <w:jc w:val="left"/>
        <w:tblInd w:w="0" w:type="dxa"/>
        <w:tblLayout w:type="fixed"/>
        <w:tblCellMar>
          <w:top w:w="28" w:type="dxa"/>
          <w:left w:w="28" w:type="dxa"/>
          <w:bottom w:w="28" w:type="dxa"/>
          <w:right w:w="28" w:type="dxa"/>
        </w:tblCellMar>
      </w:tblPr>
      <w:tblGrid>
        <w:gridCol w:w="1183"/>
        <w:gridCol w:w="1042"/>
        <w:gridCol w:w="1044"/>
        <w:gridCol w:w="637"/>
        <w:gridCol w:w="327"/>
        <w:gridCol w:w="956"/>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9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9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6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85.29</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common stock of the companies within the S&amp;P 500 Index over a period consistent with the expected life of the awards. The risk-free interest rate is based on the U.S. Treasury rate with terms similar to the expected life of the awards. The expected life is consistent with the performance measurement period of the awards.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determined that it was probable that at least the minimum performance goals associated with performance-based restricted stock awards with market conditions granted during 2024 and 2025 would be met by their forfeiture dates. The Company recorded a total of approximately $6 million and $1 million of stock-based compensation expense related to restricted stock awards with performance and market conditions for the three months ended March 31, 2026 and 2025, respectively. As of March 31, 2026, the Company expects to record aggregate stock-based compensation expense of approximately $19 million for performance-based restricted stock awards over the remainder of 2026 and in 2027 and 2028.</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unvested restricted stock awards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866"/>
        <w:gridCol w:w="762"/>
        <w:gridCol w:w="763"/>
        <w:gridCol w:w="488"/>
        <w:gridCol w:w="488"/>
        <w:gridCol w:w="222"/>
        <w:gridCol w:w="181"/>
        <w:gridCol w:w="181"/>
        <w:gridCol w:w="181"/>
        <w:gridCol w:w="615"/>
        <w:gridCol w:w="1258"/>
        <w:gridCol w:w="181"/>
        <w:gridCol w:w="109"/>
        <w:gridCol w:w="109"/>
        <w:gridCol w:w="109"/>
        <w:gridCol w:w="430"/>
        <w:gridCol w:w="431"/>
        <w:gridCol w:w="252"/>
        <w:gridCol w:w="173"/>
        <w:gridCol w:w="173"/>
        <w:gridCol w:w="173"/>
        <w:gridCol w:w="569"/>
        <w:gridCol w:w="1241"/>
        <w:gridCol w:w="250"/>
      </w:tblGrid>
      <w:tr>
        <w:trPr/>
        <w:tc>
          <w:tcPr>
            <w:tcW w:w="86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 Awards — without Market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 Awards — with Market Condition</w:t>
            </w:r>
          </w:p>
        </w:tc>
      </w:tr>
      <w:tr>
        <w:trPr/>
        <w:tc>
          <w:tcPr>
            <w:tcW w:w="239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w:t>
              <w:br/>
              <w:t>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w:t>
              <w:br/>
              <w:t>Fair Value per Share</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at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3,643,210 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996,000 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(981,553)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(69,364)</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(42,654)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(170,876)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at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2,620,249 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755,760 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restricted stock units to certain executive officers, directors, and employees of the Company which vest over a specific service period. Executive officers also receive restricted stock units that vest based on the achievement of certain operating performance goals and market conditions. The grant of units with performance conditions supports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0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Company’s goal of aligning executive incentives with long-term stockholder value and ensuring that executive officers have a continuing stake in the long-term success of the Company.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vesting of restricted stock units is subject to continuing employment requirements. Certain performance-based restricted stock units are subject to a market condition such that the actual number of shares that vest at the end of the respective three-year period is determined based on the Company’s achievement of performance goals and an established Company specific TSR factor relative to the S&amp;P 500 Index over the same three-year performance period. At the end of the three-year performance period, the number of shares of the Company’s common stock to be issued is determined by the achievement of the performance condition at or above the pre-established threshold and a TSR payout percentage, which ranges between 50% and 250%, based on the Company’s TSR performance relative to that of S&amp;P 500 Index over the respective three-year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fair value of its performance-based restricted stock units with market conditions on the date of grant using a Monte-Carlo simulation valuation model. This pricing model uses multiple simulations to evaluate the probability of achieving the market condition to calculate the fair value of the awards. Expense is only recorded for units that are expected to vest, net of estimated forfeitures.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assumptions used to estimate the fair value of performance-based restricted stock units with market conditions were as follows:</w:t>
      </w:r>
    </w:p>
    <w:tbl>
      <w:tblPr>
        <w:tblW w:w="5189" w:type="dxa"/>
        <w:jc w:val="left"/>
        <w:tblInd w:w="0" w:type="dxa"/>
        <w:tblLayout w:type="fixed"/>
        <w:tblCellMar>
          <w:top w:w="28" w:type="dxa"/>
          <w:left w:w="28" w:type="dxa"/>
          <w:bottom w:w="28" w:type="dxa"/>
          <w:right w:w="28" w:type="dxa"/>
        </w:tblCellMar>
      </w:tblPr>
      <w:tblGrid>
        <w:gridCol w:w="1183"/>
        <w:gridCol w:w="1042"/>
        <w:gridCol w:w="1044"/>
        <w:gridCol w:w="637"/>
        <w:gridCol w:w="327"/>
        <w:gridCol w:w="956"/>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2026</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9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9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w:t>
            </w:r>
          </w:p>
        </w:tc>
        <w:tc>
          <w:tcPr>
            <w:tcW w:w="6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30.19</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determined that it was probable that at least the minimum performance goals associated with performance-based restricted stock units with market conditions granted during 2026 would be met by their forfeiture dates. As of March 31, 2026, the Company expects to record an aggregate stock-based compensation expense of approximately $19 million for performance-based restricted stock units over the remainder of 2026 and in 2027, 2028, and 2029.</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unvested restricted stock units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879"/>
        <w:gridCol w:w="772"/>
        <w:gridCol w:w="774"/>
        <w:gridCol w:w="488"/>
        <w:gridCol w:w="488"/>
        <w:gridCol w:w="244"/>
        <w:gridCol w:w="181"/>
        <w:gridCol w:w="181"/>
        <w:gridCol w:w="181"/>
        <w:gridCol w:w="587"/>
        <w:gridCol w:w="1267"/>
        <w:gridCol w:w="181"/>
        <w:gridCol w:w="109"/>
        <w:gridCol w:w="109"/>
        <w:gridCol w:w="109"/>
        <w:gridCol w:w="413"/>
        <w:gridCol w:w="413"/>
        <w:gridCol w:w="273"/>
        <w:gridCol w:w="173"/>
        <w:gridCol w:w="173"/>
        <w:gridCol w:w="173"/>
        <w:gridCol w:w="542"/>
        <w:gridCol w:w="1246"/>
        <w:gridCol w:w="249"/>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 Units — without Market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 Units — with Market Condition</w:t>
            </w:r>
          </w:p>
        </w:tc>
      </w:tr>
      <w:tr>
        <w:trPr/>
        <w:tc>
          <w:tcPr>
            <w:tcW w:w="24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w:t>
              <w:br/>
              <w:t>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w:t>
              <w:br/>
              <w:t>Fair Value per Share</w:t>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714,920 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1,653,872 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642,603 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(61,787)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2,209,970 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642,603 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1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and transactions that occurred after the balance sheet date up to the date that the condensed consolidated financial statements were issued. Based upon this review, the Company did not identify any material subsequent events that required adjustment or disclosure in the condensed consolidated financial statements.</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under the heading “Cautionary Statement Concerning Forward-Looking Statements” at the end of this Item 2, “Risk Factors” in Item 1A of Part I of our 2025 Form 10-K, as well as those described from time to time in our filings with the SEC.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are based on information available to us on the date of this filing, and we assume no obligation to update such statements, whether as a result of new information, future events or otherwise, except as required by applicable law. The following discussion should be read in conjunction with our 2025 Form 10-K, our subsequent Quarterly Reports on Form 10-Q, Current Reports on Form 8-K, other filings with the SEC, and the condensed consolidated financial statements and related notes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Group is a leading provider of online real estate marketplaces, information, analytics, and 3D digital twin technology in the property markets, based on the numbers of unique visitors and site visits per month; providing more information, analytics, and marketing services than many of our competitors; offering the most comprehensive commercial real estate database available; and having the largest commercial real estate research department in the industry. We have created and compiled a standardized platform of real estate information and analytics and online marketplaces where industry professionals, consumers of commercial and residential real estate, including apartments, and the related business communities, can continuously interact and facilitate transactions by efficiently accessing and exchanging accurate and standardized real estate-related information. Our service offerings span all property types, including office, retail, industrial, multifamily, residential, land, mixed-use, and hospitality.</w:t>
      </w:r>
    </w:p>
    <w:p>
      <w:pPr>
        <w:pStyle w:val="TextBody"/>
        <w:bidi w:val="0"/>
        <w:spacing w:lineRule="auto" w:line="288" w:before="200" w:after="200"/>
        <w:ind w:left="0" w:right="0" w:firstLine="360"/>
        <w:jc w:val="both"/>
        <w:rPr/>
      </w:pPr>
      <w:r>
        <w:rPr>
          <w:rFonts w:ascii="Times New Roman;serif" w:hAnsi="Times New Roman;serif"/>
          <w:b w:val="false"/>
          <w:color w:val="000000"/>
          <w:sz w:val="20"/>
          <w:shd w:fill="FFFFFF" w:val="clear"/>
        </w:rPr>
        <w:t>Our services are primarily derived from a databas</w:t>
      </w:r>
      <w:r>
        <w:rPr>
          <w:rFonts w:ascii="Times New Roman;serif" w:hAnsi="Times New Roman;serif"/>
          <w:b w:val="false"/>
          <w:color w:val="000000"/>
          <w:sz w:val="20"/>
        </w:rPr>
        <w:t>e of building-specific and marketplace information and visual content and offer customers specialized tools for accessing, analyzing, and using our information and advertising on our marketplaces. Over time, we have expanded, and we expect to continue to expand, our existing information, analytics, and online marketplaces. We have developed and we expect to continue to develop additional services leveraging our centralized database and 3D digital twin technology to meet the needs of our existing customers as well as potential new categories of customers.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services are typically distributed to our customers under subscription-based license agreements that generally renew automatically, the majority of which have a term of at least one year. Upon renewal, many of the subscription contract rates may change in accordance with contract provisions or as a result of contract renegotiations. To encourage customers to use our services regularly, we generally charge a fixed monthly amount for our subscription-based services rather than charging fees based on actual platform usage or number of paid clicks. Depending on the type of service, contract rates are generally based on the number of sites, number of users, organization size, the customer’s business focus, the customer's geographic location, the number of properties reported on or analyzed, the number and types of services to which a customer subscribes, the number of digital twins hosted, the number of properties a customer advertises, and the prominence and placement of a customer's advertised properties in the search results. Our subscription customers generally pay contract fees on a monthly basis, but in some cases may pay us on a quarterly or annual basis. Our transaction-based services primarily consist of (i) providing premium listings for individual properties on our marketplaces, (ii) providing data capture services to create digital twins, (iii) the sale of Matterport cameras and capture equipment, and (iv) Ten-X auction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Services</w:t>
      </w:r>
    </w:p>
    <w:p>
      <w:pPr>
        <w:pStyle w:val="TextBody"/>
        <w:bidi w:val="0"/>
        <w:spacing w:lineRule="auto" w:line="288" w:before="200" w:after="200"/>
        <w:ind w:left="0" w:right="0" w:firstLine="360"/>
        <w:jc w:val="both"/>
        <w:rPr/>
      </w:pPr>
      <w:r>
        <w:rPr>
          <w:rFonts w:ascii="Times New Roman;serif" w:hAnsi="Times New Roman;serif"/>
          <w:b w:val="false"/>
          <w:color w:val="000000"/>
          <w:sz w:val="20"/>
        </w:rPr>
        <w:t>We operate, develop products, and deliver our services in two reportable segments, Commercial Real Estate and Residential Real Estate. Our Commercial Real Estate segment offers commercial real estate information and analytics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online marketplaces, and </w:t>
      </w:r>
      <w:r>
        <w:rPr>
          <w:rFonts w:ascii="Times New Roman;serif" w:hAnsi="Times New Roman;serif"/>
          <w:b w:val="false"/>
          <w:color w:val="000000"/>
          <w:sz w:val="20"/>
          <w:shd w:fill="FFFFFF" w:val="clear"/>
        </w:rPr>
        <w:t xml:space="preserve">3D digital twin technology. </w:t>
      </w:r>
      <w:r>
        <w:rPr>
          <w:rFonts w:ascii="Times New Roman;serif" w:hAnsi="Times New Roman;serif"/>
          <w:b w:val="false"/>
          <w:color w:val="000000"/>
          <w:sz w:val="20"/>
        </w:rPr>
        <w:t>Our Residential Real Estate segment hosts marketplaces which aggregate consumer demand for homes and apartments and we sell marketing and leads to the agents, owners, landlords, and property management companies that need to reach those consumers with their offerings. Our principal services are described in the following paragraphs:</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Commercial Real Estate</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CoStar</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CoStar is our subscription-based integrated platform for commercial real estate intelligence, which includes information about commercial real estate properties, properties for sale, comparable sales, tenants, space available for lease, industry professionals and their business relationships, industry news, and market status. CoStar also provides benchmarking for the hospitality industry under the STR brand, lease analytical capabilities, and risk management and other debt solutions for lenders. We also offer SaaS for lease management under the CoStar Real Estate Manager and Visual Lease brands.</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LoopNet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LoopNet Network of commercial real estate websites offers online marketplaces across the U.S., Europe, and the U.K. that enable commercial property owners, landlords, and real estate agents to advertise properties for sale or for lease. Commercial real estate agents, buyers, and tenants use the LoopNet Network of online marketplaces to search for available property listings that meet their criteria. With the Domain Acquisition, we also offer commercial real estate listings in Australia.</w:t>
      </w: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Commercial Real Estate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Commercial Real Estate includes revenue from the Matterport Acquisition, BizBuySell Network, and Ten-X's online auctions for commercial real estate. Matterport primarily provides hosting services for its 3D digital twins on a subscription basis. Matterport also provides capture services of spatial data and other add-on services to existing subscription customers and sells 3D capture cameras and accessories. Our BizBuySell Network provides online marketplaces for businesses and franchises for sale.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Commercial Real Estate's revenue growth rate for the year ending December 31, 2026 to moderate compared to the revenue growth rate for the year ended December 31, 2025 due to the lack of benefit from the Matterport Acquisition realized in 2025.</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Residential Real Estate</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residential marketplaces enable renters and homebuyers to find their dream homes by combining our proprietary research and neighborhood content with listing information, while enabling property owners, managers, and real estate agents to advertise their properties. Our flagship brands in the U.S. are Apartments.com, Homes.com, and Land.com. Apartments.com and Land.com provide comprehensive advertising on a subscription basis. Homes.com offers real estate agents subscription memberships promoting the agent's listings and profile on our websites, as well as the ability for real estate agents and homeowners to promote a single listing. Domain and OnTheMarket are our primary brands in Australia and the U.K., respectively. Domain primarily provides agents premium listings for individual properties. OnTheMarket hosts agents' listings on a subscription basis. We expect Residential Real Estate's revenue growth rate for the year ending December 31, 2026 to accelerate compared to the revenue growth rate for the year ended December 31, 2025 due to a full year's benefit of the Domain Acquisition completed in August 2025 and an increase in the number of Homes.com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Subscription-based Services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For the three months ended March 31, 2026 and 2025, our annualized net new bookings of subscription-based services on all contracts were </w:t>
      </w:r>
      <w:r>
        <w:rPr>
          <w:rFonts w:ascii="Times New Roman;serif" w:hAnsi="Times New Roman;serif"/>
          <w:b w:val="false"/>
          <w:color w:val="000000"/>
          <w:sz w:val="20"/>
          <w:shd w:fill="FFFFFF" w:val="clear"/>
        </w:rPr>
        <w:t>$67 million and $56 million,</w:t>
      </w:r>
      <w:r>
        <w:rPr>
          <w:color w:val="000000"/>
        </w:rPr>
        <w:t xml:space="preserve"> </w:t>
      </w:r>
      <w:r>
        <w:rPr>
          <w:rFonts w:ascii="Times New Roman;serif" w:hAnsi="Times New Roman;serif"/>
          <w:b w:val="false"/>
          <w:color w:val="000000"/>
          <w:sz w:val="20"/>
        </w:rPr>
        <w:t xml:space="preserve">respectively. Net new bookings is calculated based on the annualized amount of change in our sales bookings resulting from new subscription-based contracts, changes to existing subscription-based contracts, and cancellations of subscription-based contracts for the period reported. Net new bookings is calculated on all subscription-based contracts without regard to contract term. Net new bookings is considered an operating metric that is an indicator of future subscription revenue growth and is also used as a metric of sales force productivity by us and investors. However, information regarding net new bookings is not comparable to, nor should it be substituted for, an analysis of our revenue over time. Revenue from our subscription-based contracts was approximately 90% and 96% of total revenue for the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ended March 31, 2026 and 2025, respectively. The decrease in our percentage of subscription-based revenue was primarily due to Domain, which sells premium listings for individual properties, as well as the transactional products and services sold by Matterport.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each of the trailing 12 months ended March 31, 2026 and 2025, our contract renewal rates for existing company-wide CoStar Group subscription-based services for contracts with a term of at least one year were approximately 89% and our cancellation rates for those services during the same periods were approximately 11%. Contract renewal rates are calculated on all subscription-based contracts with a term of at least one year. Our contract renewal rate is a quantitative measurement that is typically closely correlated with our revenue results. As a result, we believe that the rate may be a reliable indicator of short-term and long-term performance absent extraordinary circumstances. Our trailing 12-month contract renewal rate may decline as a result of negative economic conditions, consolidations among our customers, reductions in customer spending, or decreases in our customer base. Revenue from our subscription-based contracts with a term of at least one year was approximately 74% and 80% of total revenue for three months ended March 31, 2026 and 2025, respectively. The decrease in the percentage of revenue from our subscription-based contracts with a term of at least one year was primarily due to Domain, which sells premium listings for individual properties, as well as the transactional products and services sold by Matterport.</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we changed the composition of our segments from geography-based to product portfolio-based. This change aligns with the internal reporting used by the CODM for assessing performance and allocating resources. See Notes 2, 3, and 12 of the Notes to the Condensed Consolidated Financial Statements included in Part I of this Report for additional information on the segment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Development, Investments, and Expansion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plan to continue to invest in our business and our services, evaluate strategic growth opportunities, and pursue our key priorities as described below. We are committed to supporting, improving, and enhancing our information, analytics, and online marketplace solutions, including expanding and improving our offerings for our client base and site users, including property owners, property managers, buyers, commercial tenants, and residential renters and buyers. We expect to continue our software development efforts to improve existing services, introduce new services, integrate and cross-sell services, integrate recently completed acquisitions, and expand and develop supporting technologies for our research, sales, and marketing organizations. We may reevaluate our priorities as economic conditions continue to evolve.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key priorities for the remainder of 2026 currently include: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Enhancement of our residential products and platforms. Leveraging rentals marketing and lead generation across platforms, in particular, Apartments.com and Homes.com. Scaling Homes.com through new product releases including depth advertising and the new homes builder program. Continue to develop new and improved tools for residential agents and brokers to help amplify their reach.</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International expansion of LoopNet and CoStar. We launched our LoopNet branded advertising products in Spain and France and continue to expand our footprint of commercial listings in these markets. We plan to continue integrating Domain and expect to launch LoopNet into the Australian market. In addition, we expect to launch CoStar in France and Australia.</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Launching additional AI-enabled features across our products. We plan to extend the revolutionary capability of Homes AI across the Company’s portfolio of leading platforms, including Apartments.com and LoopNet, ushering in a new era of intelligent, conversational real estate discovery. Our AI capabilities draw from property data, Matterport 3D digital twin technology, images, proprietary school data, neighborhood insights, and market intelligence.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Continuing to expand our CoStar offerings with additional modules, including new data and enhanced analytics. We plan to add new homes data, rent benchmarking, and debt benchmarking. These enhancements will continue to drive new subscribers and additional usage under one platform.</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Leveraging technology and AI capabilities in our internal processes. We are using advanced technology, including AI, to improve data collection, data generation, and data quality. AI is driving research efficiencies, improving data quality, and increasing the pace of product development. Proprietary data, an integrated delivery platform, and bespoke research processes underpin our product solutions.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assess the need for additional investments in our business in order to develop and distribute new services and functionality within our current platform or expand the reach of, or otherwise improve, our current service offerings. Any future product development or expansion of services, combination and coordination of services, or elimination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of services or corporate expansion, development, or restructuring efforts could reduce our profitability and increase our capital expenditures. Any new investments, changes to our service offerings, or other unforeseen events could cause us to experience reduced revenue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and publicly release quarterly unaudited financial statements prepared in accordance with GAAP. We also disclose and discuss certain non-GAAP financial measures in our public releases, investor conference calls, and filings with the SEC. The non-GAAP financial measures that we may disclose include EBITDA, Adjusted EBITDA, Adjusted EBITDA margin, Adjusted Net Income, and Adjusted EPS.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EBITDA is our net income (loss) before interest income or expense, net, other expense or income, net, loss on debt extinguishment, income taxes, depreciation, and amortization. We typically disclose EBITDA on a consolidated and on an operating segment basis in our earnings releases, investor conference calls, and filings with the SEC.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different from EBITDA because we further adjust EBITDA for stock-based compensation expense, acquisition- and integration-related costs, restructuring and related costs, including certain advisory fees, and settlements and impairments incurred outside our ordinary course of business.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margin represents Adjusted EBITDA divided by revenue for the period.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represents our net income (loss) adjusted for stock-based compensation expense, acquisition- and integration-related costs, including gains or losses on equity investments acquired in prospective targets and related to deal-contingent financial instruments, restructuring costs, settlement and impairment costs incurred outside our ordinary course of business, and loss on debt extinguishment, as well as amortization of acquired intangible assets and other related costs, and then subtracting an assumed provision for income taxes.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EPS represents Adjusted Net Income divided by the number of diluted shares outstanding for the period used in the calculation of GAAP earnings per diluted share. For periods with GAAP net losses and Adjusted Net Income, the weighted average outstanding shares used to calculate Adjusted EPS includes potentially dilutive securities that were excluded from the calculation of GAAP earnings per share as the effect was anti-dilutive.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disclose Adjusted EBITDA, Adjusted EBITDA margin, and Adjusted Net Income on a consolidated basis in our earnings releases, investor conference calls, and filings with the SEC.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view EBITDA, Adjusted EBITDA, Adjusted EBITDA margin, Adjusted Net Income, and Adjusted EPS as operating performance measures. We believe that the most directly comparable GAAP financial measure to EBITDA, Adjusted EBITDA, and Adjusted Net Income is net income (loss). We believe the most directly comparable GAAP financial measure to Adjusted EPS and Adjusted EBITDA margin are earnings per diluted share and net income (loss) divided by revenue, respectively. In calculating EBITDA, Adjusted EBITDA, Adjusted EBITDA margin, Adjusted Net Income, and Adjusted EPS,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Adjusted EBITDA margin, Adjusted Net Income, and Adjusted EPS are not measurements of financial performance under GAAP and should not be considered as a measure of liquidity, as an alternative to net income (loss), or as an indicator of any other measure of performance derived in accordance with GAAP. Investors and potential investors in our securities should not rely on EBITDA, Adjusted EBITDA, Adjusted EBITDA margin, Adjusted Net Income, and Adjusted EPS as a substitute for any GAAP financial measure, including net income (loss) and earnings per diluted share. In addition, we urge investors and potential investors in our securities to carefully review the GAAP financial information included as part of our Annual Reports on Form 10-K and Quarterly Reports on Form 10-Q that are filed with the SEC, as well as our quarterly earnings releases, and compare the GAAP financial information with our EBITDA, Adjusted EBITDA, Adjusted EBITDA margin, Adjusted Net Income, and Adjusted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EBITDA, Adjusted EBITDA, Adjusted EBITDA margin, Adjusted Net Income, and Adjusted EPS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without the impact of certain acquisition-related items. We have spent more than 35 years building our database of commercial real estate information and expanding our markets and services partially through acquisitions of complementary businesses. Due to these acquisitions, our net income (loss) has included significant charges for amortization of acquired intangible assets; depreciation and other amortization; acquisition- and integration-related costs, including gains or losses on equity investments acquired in prospective targets and related to deal-contingent financial instruments; restructuring and related costs, including certain advisory fees; and loss on debt extinguishment. Adjusted EBITDA, Adjusted EBITDA margin, Adjusted Net Income, and Adjusted EPS exclude these charges and provide meaningful information about the operating performance of our business, apart from charges for amortization of acquired intangible assets, depreciation and other amortization, acquisition- and integration-related costs, restructuring and related costs, including certain advisory fees, and settlement and impairment costs incurred outside our ordinary course of business. We believe the disclosure of non-GAAP measures can help investors meaningfully evaluate and compare our performance from quarter to quarter and from year to year without the impact of these items. We also believe the non-GAAP measures we disclose are measures of our ongoing operating performance because the isolation of non-cash charges, such as amortization and depreciation, and other items, such as interest income or expense, net, other expense or income, net, income taxes, stock-based compensation expenses, acquisition- and integration-related costs, restructuring and related costs, including certain advisory fees,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Adjusted EBITDA margin, Adjusted Net Income, or Adjusted EPS to provide a financial measure by which to compare our operating performance against that of other companies in our industry.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Set forth below are descriptions of financial items that have been excluded from net income (loss) to calculate EBITDA and the material limitations associated with using this non-GAAP financial measure as compared to net income (loss):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Amortization of acquired intangible assets in cost of revenue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interest income or expense, net and other expense or income, net we generate and incur may be useful for investors to consider and may result in current cash inflows and outflows. However, we do not consider the amount of interest income or expense, net and other expense or income, net to be a representative component of the day-to-day operating performance of our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Income tax expense may be useful for investors to consider because it generally represents the taxes that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Set forth below are descriptions of additional financial items that have been excluded from EBITDA to calculate Adjusted EBITDA and the material limitations associated with using this non-GAAP financial measure as compared to net income (loss):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settlement and impairment costs incurred outside of our ordinary course of business may be useful for investors to consider because they generally represent gains or losses from the settlement of litigation matters, charges related to terminations of contracts or impairments of acquired intangible assets or other long-lived assets. We do not believe these charges necessarily reflect the current and ongoing cash charges related to our operating cost structure.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amount of restructuring and related costs, including certain advisory costs, incurred may be useful for investors to consider because they generally represent costs incurred in connection with changes to the structure of our operations, governance, offices and related properties, and suppliers or employees used to deliver services and include costs to terminate contracts, advisory fees and other professional services, and severance. Because we do not carry out restructuring activities on a predictable cycle, we do not consider the amount of restructuring-related costs to be a representative component of the day-to-day operating performance of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items that have been excluded from our net income (loss) to calculate Adjusted Net Income and Adjusted EPS are amortization of acquired intangible assets and other related costs, stock-based compensation, acquisition- and integration-related costs, including gains or losses on equity investments acquired in prospective targets and related to deal-contingent financial instruments, restructuring and related costs, and settlement and impairment costs incurred outside our ordinary course of business. These items are discussed above with respect to the calculation of Adjusted EBITDA together with the material limitations associated with using non-GAAP financial measures as compared to net income (loss). In addition to these exclusions from net income (loss), we subtract an assumed provision for income taxes to calculate Adjusted Net Income. In both 2026 and 2025, we assume a 26.0% tax rate, which approximates our historical long-term statutory corporate tax rate, excluding the impact of discrete items.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compensates for the above-described limitations of using non-GAAP measures by using a non-GAAP measure only to supplement our GAAP results and to provide additional information that is useful to investors to understand the factors and trends affecting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Three Months Ended March 31, 2026 Compared to Three Months Ended March 31,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compares our selected condensed consolidated results of operations for the three months ended March 31, 2026 and 2025 (in millions):</w:t>
      </w:r>
    </w:p>
    <w:tbl>
      <w:tblPr>
        <w:tblW w:w="10205" w:type="dxa"/>
        <w:jc w:val="left"/>
        <w:tblInd w:w="0" w:type="dxa"/>
        <w:tblLayout w:type="fixed"/>
        <w:tblCellMar>
          <w:top w:w="28" w:type="dxa"/>
          <w:left w:w="28" w:type="dxa"/>
          <w:bottom w:w="28" w:type="dxa"/>
          <w:right w:w="28" w:type="dxa"/>
        </w:tblCellMar>
      </w:tblPr>
      <w:tblGrid>
        <w:gridCol w:w="1506"/>
        <w:gridCol w:w="1284"/>
        <w:gridCol w:w="1292"/>
        <w:gridCol w:w="211"/>
        <w:gridCol w:w="466"/>
        <w:gridCol w:w="109"/>
        <w:gridCol w:w="109"/>
        <w:gridCol w:w="109"/>
        <w:gridCol w:w="109"/>
        <w:gridCol w:w="211"/>
        <w:gridCol w:w="466"/>
        <w:gridCol w:w="109"/>
        <w:gridCol w:w="109"/>
        <w:gridCol w:w="109"/>
        <w:gridCol w:w="109"/>
        <w:gridCol w:w="531"/>
        <w:gridCol w:w="909"/>
        <w:gridCol w:w="276"/>
        <w:gridCol w:w="109"/>
        <w:gridCol w:w="109"/>
        <w:gridCol w:w="109"/>
        <w:gridCol w:w="395"/>
        <w:gridCol w:w="372"/>
        <w:gridCol w:w="1087"/>
      </w:tblGrid>
      <w:tr>
        <w:trPr/>
        <w:tc>
          <w:tcPr>
            <w:tcW w:w="150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r>
      <w:tr>
        <w:trPr/>
        <w:tc>
          <w:tcPr>
            <w:tcW w:w="40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 increased by $165 million, or 23%, to $897 million, driven by the following: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Real Estate revenue increased by $63 million, or 15%, to $472 million due to: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CoStar revenue of $26 million, or 9%, due to an increase in subscribers, inflation-based price increases, and additional sales of STR Benchmarking,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LoopNet revenue of $12 million, or 16%, due to an increase in the number of listings, as well as an increase in the average price per listing and the Domain Acquisition completed in August 2025,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Other Commercial Real Estate revenue of $25 million, or 81%, primarily due to the Matterport Acquisition completed in February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revenue increased by $102 million, or 32%, to $425 million primarily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$60 million of revenue from the Domain Acquisition completed in August 2025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the number of agents and properties advertised on our network, partially offset by a reduction in average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Gross Profit and Cost of Revenue</w:t>
      </w:r>
      <w:r>
        <w:rPr>
          <w:rFonts w:ascii="Times New Roman;serif" w:hAnsi="Times New Roman;serif"/>
          <w:b w:val="false"/>
          <w:color w:val="000000"/>
          <w:sz w:val="20"/>
        </w:rPr>
        <w:t>. Gross profit increased by $122 million, or 21%, to $701 million, and the gross profit margin decreased from 79% to 78%. The increase in gross profit was due to higher revenue, partially offset by an increase in the cost of revenue. Cost of revenue increased by $43 million, or 28%, to $196 million and, as a percentage of revenue, increased from 21% to 22%. The increase in cost of revenue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higher amortization expense related to acquired technology and trade names from the Matterport and Domain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personnel costs of $9 million, primarily due to incremental headcount added through the Matterport and Domain 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web hosting, data, and content costs of $8 million, associated with the Matterport and Domain 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of $3 million in credit card processing fees, and</w:t>
      </w:r>
    </w:p>
    <w:p>
      <w:pPr>
        <w:pStyle w:val="TextBody"/>
        <w:bidi w:val="0"/>
        <w:spacing w:before="0" w:after="0"/>
        <w:jc w:val="both"/>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$3 million in costs related to sales of digital twin capture equipment and services attributable to the Matterport Acquisition completed in February 2025.</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Selling and Marketing Expenses (Excluding Customer Base Amortization)</w:t>
      </w:r>
      <w:r>
        <w:rPr>
          <w:rFonts w:ascii="Times New Roman;serif" w:hAnsi="Times New Roman;serif"/>
          <w:b w:val="false"/>
          <w:color w:val="000000"/>
          <w:sz w:val="20"/>
        </w:rPr>
        <w:t>. Selling and marketing expenses increased $52 million, or 14%, to $421 million and, as a percentage of revenue, decreased from 50% to 47%. The increase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personnel costs and related overhead, reflecting sales hiring and the addition of sales personnel from the Matterport and Domain acquisitions,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marketing expenses of $12 million for advertising of our brands,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conference expenses of $4 million related to increased sales force. </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Software Development Expenses</w:t>
      </w:r>
      <w:r>
        <w:rPr>
          <w:rFonts w:ascii="Times New Roman;serif" w:hAnsi="Times New Roman;serif"/>
          <w:b w:val="false"/>
          <w:color w:val="000000"/>
          <w:sz w:val="20"/>
        </w:rPr>
        <w:t>. Software development expenses increased by $19 million, or 20%, to $114 million and, as a percentage of revenue, were consistent at 13%. The increase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primarily driven by additional headcount from the Matterport and Domain acquisitions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software and equipment costs of $3 million, primarily due to the Domain Acquisition.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decreased by $15 million, or 11%, to $126 million and, as a percentage of revenue, decreased from 19% to 14%. The decrease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of $20 million from Matterport-related acquisition fees incurred in February 2025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of $11 million in professional services fees, primarily due to lower legal-related expenses from defending our intellectual property,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of $11 million primarily due to the Matterport and Domain acquisitions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software and equipment costs of $6 million primarily due to the Matterport and Domain acquisitions.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Customer Base Amortization Expense</w:t>
      </w:r>
      <w:r>
        <w:rPr>
          <w:rFonts w:ascii="Times New Roman;serif" w:hAnsi="Times New Roman;serif"/>
          <w:b w:val="false"/>
          <w:color w:val="000000"/>
          <w:sz w:val="20"/>
        </w:rPr>
        <w:t>. Customer base amortization expense increased by $20 million, or 118%, to $37 million, and, as a percentage of revenue, increased from 2% to 4%. The increase was primarily due to amortization of intangible assets recognized in connection with the Matterport and Domain acquisitions.</w:t>
      </w:r>
    </w:p>
    <w:p>
      <w:pPr>
        <w:pStyle w:val="TextBody"/>
        <w:bidi w:val="0"/>
        <w:spacing w:lineRule="auto" w:line="268" w:before="0" w:after="200"/>
        <w:ind w:left="0" w:right="0" w:firstLine="360"/>
        <w:jc w:val="both"/>
        <w:rPr/>
      </w:pPr>
      <w:r>
        <w:rPr>
          <w:rFonts w:ascii="Times New Roman;serif" w:hAnsi="Times New Roman;serif"/>
          <w:b w:val="false"/>
          <w:i/>
          <w:color w:val="000000"/>
          <w:sz w:val="20"/>
        </w:rPr>
        <w:t>Interest Income, Net</w:t>
      </w:r>
      <w:r>
        <w:rPr>
          <w:rFonts w:ascii="Times New Roman;serif" w:hAnsi="Times New Roman;serif"/>
          <w:b w:val="false"/>
          <w:color w:val="000000"/>
          <w:sz w:val="20"/>
        </w:rPr>
        <w:t>. Interest income, net decreased by $28 million, or 74%, to $10 million. The decrease was primarily due to a decrease in our cash and cash equivalents.</w:t>
      </w:r>
    </w:p>
    <w:p>
      <w:pPr>
        <w:pStyle w:val="TextBody"/>
        <w:bidi w:val="0"/>
        <w:spacing w:lineRule="auto" w:line="268" w:before="0" w:after="0"/>
        <w:ind w:left="0" w:right="0" w:firstLine="360"/>
        <w:jc w:val="both"/>
        <w:rPr/>
      </w:pPr>
      <w:r>
        <w:rPr>
          <w:rFonts w:ascii="Times New Roman;serif" w:hAnsi="Times New Roman;serif"/>
          <w:b w:val="false"/>
          <w:i/>
          <w:color w:val="000000"/>
          <w:sz w:val="20"/>
        </w:rPr>
        <w:t>Income Tax Expense</w:t>
      </w:r>
      <w:r>
        <w:rPr>
          <w:rFonts w:ascii="Times New Roman;serif" w:hAnsi="Times New Roman;serif"/>
          <w:b w:val="false"/>
          <w:color w:val="000000"/>
          <w:sz w:val="20"/>
        </w:rPr>
        <w:t xml:space="preserve">. Income tax expense increased by $1 million, or 13%, to $9 million, and the effective tax rate was 74% of income before income taxes for the three months ended March 31, 2026, compared to (114)% of loss before income taxes for the three months ended March 31, 2025. The change in income tax expense was primarily due to higher income before taxes.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6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Three Months Ended March 31, 2025 Compared to Three Months Ended March 31, 2024</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compares our selected condensed consolidated results of operations for the three months ended March 31, 2025 and 2024 (in millions):</w:t>
      </w:r>
    </w:p>
    <w:tbl>
      <w:tblPr>
        <w:tblW w:w="10205" w:type="dxa"/>
        <w:jc w:val="left"/>
        <w:tblInd w:w="0" w:type="dxa"/>
        <w:tblLayout w:type="fixed"/>
        <w:tblCellMar>
          <w:top w:w="28" w:type="dxa"/>
          <w:left w:w="28" w:type="dxa"/>
          <w:bottom w:w="28" w:type="dxa"/>
          <w:right w:w="28" w:type="dxa"/>
        </w:tblCellMar>
      </w:tblPr>
      <w:tblGrid>
        <w:gridCol w:w="1409"/>
        <w:gridCol w:w="1151"/>
        <w:gridCol w:w="1158"/>
        <w:gridCol w:w="242"/>
        <w:gridCol w:w="536"/>
        <w:gridCol w:w="125"/>
        <w:gridCol w:w="125"/>
        <w:gridCol w:w="125"/>
        <w:gridCol w:w="125"/>
        <w:gridCol w:w="242"/>
        <w:gridCol w:w="536"/>
        <w:gridCol w:w="125"/>
        <w:gridCol w:w="125"/>
        <w:gridCol w:w="125"/>
        <w:gridCol w:w="125"/>
        <w:gridCol w:w="514"/>
        <w:gridCol w:w="917"/>
        <w:gridCol w:w="268"/>
        <w:gridCol w:w="125"/>
        <w:gridCol w:w="125"/>
        <w:gridCol w:w="125"/>
        <w:gridCol w:w="415"/>
        <w:gridCol w:w="367"/>
        <w:gridCol w:w="1075"/>
      </w:tblGrid>
      <w:tr>
        <w:trPr/>
        <w:tc>
          <w:tcPr>
            <w:tcW w:w="14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w:t>
            </w:r>
          </w:p>
        </w:tc>
      </w:tr>
      <w:tr>
        <w:trPr/>
        <w:tc>
          <w:tcPr>
            <w:tcW w:w="37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LoopNet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(excluding customer base amortization)</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base amortization</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We have recast certain prior period disclosures to align with the way we internally manage our business. See Note 2 of the Notes to the Consolidated Financial Statements included in Part I of this Report for additional information.</w:t>
            </w:r>
          </w:p>
        </w:tc>
      </w:tr>
    </w:tbl>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Revenue increased by $76 million, or 12%, to $732 million, driven by the following: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Real Estate revenue increased by $40 million, or 11%, to $409 million due to: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CoStar revenue of $22 million, or 8%, due to increased sales driven by inflation-based price increases on renewals and an increase in subscribers, as well as the Visual Lease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LoopNet revenue of $4 million, or 6%, due to an increase in the average price per listing, as well as the number of listings,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Other Commercial Real Estate revenue of $14 million, or 82%, primarily attributable to the Matterport Acquisition.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revenue increased by $36 million, or 13% to $323 million primarily due to:</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the number of agents and properties advertised on our network, partially offset by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of $3 million due to the discontinuation of certain products that were inconsistent with our long-term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Gross Profit and Cost of Revenue</w:t>
      </w:r>
      <w:r>
        <w:rPr>
          <w:rFonts w:ascii="Times New Roman;serif" w:hAnsi="Times New Roman;serif"/>
          <w:b w:val="false"/>
          <w:color w:val="000000"/>
          <w:sz w:val="20"/>
        </w:rPr>
        <w:t>. Gross profit increased by $64 million, or 12%, to $579 million, and the gross profit margin was consistent at 79%. The increase in gross profit was due to higher revenue, partially offset by an increase in cost of revenue. Cost of revenue increased by $12 million, or 9%, to $153 million and, as a percentage of revenue, was consistent at 21%. The increase in cost of revenue primarily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of $4 million due to the Matterport Acquisition,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of $3 million for web hosting costs,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$2 million in costs of goods sold related to sales of Matterport capture equipment and services.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Selling and Marketing Expenses (Excluding Customer Base Amortization)</w:t>
      </w:r>
      <w:r>
        <w:rPr>
          <w:rFonts w:ascii="Times New Roman;serif" w:hAnsi="Times New Roman;serif"/>
          <w:b w:val="false"/>
          <w:color w:val="000000"/>
          <w:sz w:val="20"/>
        </w:rPr>
        <w:t>. Selling and marketing expenses increased by $3 million, or 1%, to $369 million and, as a percentage of revenue, decreased from 56% to 50%. The increase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personnel costs related to sales hiring, partially offset by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decrease in marketing expenses of $17 million.</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Software Development Expenses</w:t>
      </w:r>
      <w:r>
        <w:rPr>
          <w:rFonts w:ascii="Times New Roman;serif" w:hAnsi="Times New Roman;serif"/>
          <w:b w:val="false"/>
          <w:color w:val="000000"/>
          <w:sz w:val="20"/>
        </w:rPr>
        <w:t>. Software development expenses increased by $13 million, or 16%, to $95 million and, as a percentage of revenue, were consistent at 13%. The increase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of $10 million related to increases in salaries, stock-based compensation, and benefit costs as a result of the Matterport Acquisition, as well as costs for our existing employees.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increased by $42 million, or 42%, to $141 million and, as a percentage of revenue, increased from 15% to 19%. The increase included: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an increase in professional services of $23 million, primarily due to acquisition activities,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in personnel costs of $8 million, primarily due to increases in salaries and stock-based compensation as a result of the Matterport Acquisition,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increase of $7 million in costs of intellectual property disputes.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Customer Base Amortization Expense</w:t>
      </w:r>
      <w:r>
        <w:rPr>
          <w:rFonts w:ascii="Times New Roman;serif" w:hAnsi="Times New Roman;serif"/>
          <w:b w:val="false"/>
          <w:color w:val="000000"/>
          <w:sz w:val="20"/>
        </w:rPr>
        <w:t>. Customer base amortization expense increased by $6 million, or 55%, to $17 million, and, as a percentage of revenue, was consistent at 2%. The increase was primarily due to the Matterport Acquisition.</w:t>
      </w:r>
    </w:p>
    <w:p>
      <w:pPr>
        <w:pStyle w:val="TextBody"/>
        <w:bidi w:val="0"/>
        <w:spacing w:lineRule="auto" w:line="268" w:before="0" w:after="200"/>
        <w:ind w:left="0" w:right="0" w:firstLine="360"/>
        <w:jc w:val="both"/>
        <w:rPr/>
      </w:pPr>
      <w:r>
        <w:rPr>
          <w:rFonts w:ascii="Times New Roman;serif" w:hAnsi="Times New Roman;serif"/>
          <w:b w:val="false"/>
          <w:i/>
          <w:color w:val="000000"/>
          <w:sz w:val="20"/>
        </w:rPr>
        <w:t>Interest Income, Net</w:t>
      </w:r>
      <w:r>
        <w:rPr>
          <w:rFonts w:ascii="Times New Roman;serif" w:hAnsi="Times New Roman;serif"/>
          <w:b w:val="false"/>
          <w:color w:val="000000"/>
          <w:sz w:val="20"/>
        </w:rPr>
        <w:t>. Interest income, net decreased by $18 million, or 32%, to $38 million. The decrease was primarily due to a decrease in our cash and cash equivalents.</w:t>
      </w:r>
    </w:p>
    <w:p>
      <w:pPr>
        <w:pStyle w:val="TextBody"/>
        <w:bidi w:val="0"/>
        <w:spacing w:lineRule="auto" w:line="268" w:before="0" w:after="0"/>
        <w:ind w:left="0" w:right="0" w:firstLine="360"/>
        <w:jc w:val="both"/>
        <w:rPr/>
      </w:pPr>
      <w:r>
        <w:rPr>
          <w:rFonts w:ascii="Times New Roman;serif" w:hAnsi="Times New Roman;serif"/>
          <w:b w:val="false"/>
          <w:i/>
          <w:color w:val="000000"/>
          <w:sz w:val="20"/>
        </w:rPr>
        <w:t>Income Tax Expense</w:t>
      </w:r>
      <w:r>
        <w:rPr>
          <w:rFonts w:ascii="Times New Roman;serif" w:hAnsi="Times New Roman;serif"/>
          <w:b w:val="false"/>
          <w:color w:val="000000"/>
          <w:sz w:val="20"/>
        </w:rPr>
        <w:t xml:space="preserve">. Income tax expense increased by $3 million, or 60%, to $8 million, and the effective tax rate was (114)% of loss before income taxes for the three months ended March 31, 2025, compared to 42% of income before income taxes for the three months ended March 31, 2024. The change in income tax expense was primarily due to a discrete tax expense for transaction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Business Segment Results for Three Months Ended March 31, 2026 Compared to Three Months Ended March 31,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our business by product portfolios in two operating segments, with the primary areas of measurement and decision-making being Commercial Real Estate and Residential Real Estate. Segment reporting is based on the management approach, whereby external segment reporting is aligned with the internal reporting used by the CODM, which is the Company’s Chief Executive Officer. The CODM relies on an internal management reporting process that provides operating segment revenue, EBITDA, and Adjusted EBITDA for making decisions and assessing performance as the source of the Company’s reportable segments. Adjusted EBITDA is used by management internally to measure operating and management performance and to evaluate the performance of the business. Operating results by segment include items that are directly attributable to each segment and also include shared expenses such as legal, including settlements and fines, corporate infrastructure and support costs, facilities, and IT expenses from our integrated platform. Shared expenses are primarily allocated based on revenue or headcount. There are no intersegment transactions. Refer to Note 2 and Note 12 of the Notes to the Condensed Consolidated Financial Statements included in Part I of this Report for additional information. See “Non-GAAP Financial Measures” for further information regarding our segment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Segment Adjusted EBITDA</w:t>
      </w:r>
      <w:r>
        <w:rPr>
          <w:rFonts w:ascii="Times New Roman;serif" w:hAnsi="Times New Roman;serif"/>
          <w:b w:val="false"/>
          <w:color w:val="000000"/>
          <w:sz w:val="20"/>
        </w:rPr>
        <w:t>. Commercial Real Estate Adjusted EBITDA increased by $10 million to $161 million. The increase was due to the increase in revenue discussed above,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higher personnel costs, primarily due to the Matterport Acquisition completed in February 2025, as well as higher costs related to headcount growth within existing brands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$20 million increase in general and administrative expenses, primarily due to incremental expenses from Matterport's post-acquisition operations for a full quarter in the current period, including costs of product web hosting, sales of Matterport equipment and capture services, and third-party commissions.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Residential Real Estate Adjusted EBITDA improved by $56 million to a loss of $29 million. The improvement was due to the increase in revenue discussed above,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$20 million increase in personnel costs, primarily due to the Domain Acquisition completed in August 2025,</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$17 million increase in general and administrative expenses, primarily due to the Domain Acquisition, and to a lesser extent, from an increase in conference expenses from existing brands,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$9 million increase in marketing expenses, primarily due to the Domain Acquisition.</w:t>
      </w:r>
    </w:p>
    <w:p>
      <w:pPr>
        <w:pStyle w:val="TextBody"/>
        <w:bidi w:val="0"/>
        <w:spacing w:lineRule="auto" w:line="288" w:before="200" w:after="200"/>
        <w:ind w:left="0" w:right="0" w:firstLine="360"/>
        <w:jc w:val="left"/>
        <w:rPr>
          <w:rFonts w:ascii="Times New Roman;serif" w:hAnsi="Times New Roman;serif"/>
          <w:b/>
          <w:color w:val="000000"/>
          <w:sz w:val="20"/>
        </w:rPr>
      </w:pPr>
      <w:r>
        <w:rPr>
          <w:rFonts w:ascii="Times New Roman;serif" w:hAnsi="Times New Roman;serif"/>
          <w:b/>
          <w:color w:val="000000"/>
          <w:sz w:val="20"/>
        </w:rPr>
        <w:t>Business Segment Results for Three Months Ended March 31, 2025 Compared to Three Months Ended March 31, 2024</w:t>
      </w:r>
    </w:p>
    <w:p>
      <w:pPr>
        <w:pStyle w:val="TextBody"/>
        <w:bidi w:val="0"/>
        <w:spacing w:lineRule="auto" w:line="288" w:before="0" w:after="200"/>
        <w:ind w:left="0" w:right="0" w:firstLine="360"/>
        <w:jc w:val="left"/>
        <w:rPr/>
      </w:pPr>
      <w:r>
        <w:rPr>
          <w:rFonts w:ascii="Times New Roman;serif" w:hAnsi="Times New Roman;serif"/>
          <w:b w:val="false"/>
          <w:i/>
          <w:color w:val="000000"/>
          <w:sz w:val="20"/>
        </w:rPr>
        <w:t>Segment Adjusted EBITDA</w:t>
      </w:r>
      <w:r>
        <w:rPr>
          <w:rFonts w:ascii="Times New Roman;serif" w:hAnsi="Times New Roman;serif"/>
          <w:b w:val="false"/>
          <w:color w:val="000000"/>
          <w:sz w:val="20"/>
        </w:rPr>
        <w:t>. Commercial Real Estate Adjusted EBITDA increased $8 million to $151 million. The increase was due to the increase in revenue discussed above, partially offset by:</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higher personnel costs, primarily due to the Matterport and Visual Lease acquisitions completed in February 2025 and November 2024, respectively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an $8 million increase in general and administrative expenses, primarily due to incremental expenses from Matterport's post-acquisition operations, including costs of product web hosting, sales of Matterport equipment, capture services, and third-party commissions.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Adjusted EBITDA improved by $45 million to a loss of $85 million. The improvement was due to the increase in revenue discussed above and a $25 million decrease in marketing expense, partially offset by: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$10 million increase in personnel cost due to the higher sales headcount from existing brands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a $7 million increase in general and administrative costs due to higher product hosting and merchant fees associated with revenue growth, as well as higher conference, occupancy, and related overhead costs resulting from increased sales headcount across our existing brands.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balance of cash, cash equivalents, and restricted cash, which was $1.3 billion as of March 31, 2026, along with cash generated by ongoing operations and continued access to capital markets, will be sufficient to satisfy our cash requirements over the next 12 months and beyond. Other than the matters discussed below, our cash requirements have not changed materially from what is described in the 2025 Form 10-K.</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Construction Commitments</w:t>
      </w:r>
      <w:r>
        <w:rPr>
          <w:rFonts w:ascii="Times New Roman;serif" w:hAnsi="Times New Roman;serif"/>
          <w:b w:val="false"/>
          <w:color w:val="000000"/>
          <w:sz w:val="20"/>
        </w:rPr>
        <w:t xml:space="preserve">. We are expanding our Richmond, Virginia campus, which is expected to result in a material cash requirement in 2026. We broke ground on the expansion in November 2022 and expect construction to be substantially completed in the first half of 2026. We have engaged a project manager, architects, and a general contractor on terms that generally require payments as services are provided or construction is performed. As of March 31, 2026, we were obligated to spend an additional $115 million as further work is performed under these contracts. We intend to fund these expenditures with cash on hand.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this expansion, we negotiated various tax incentives with the Commonwealth of Virginia and the City of Richmond, including the allowance to use market-based income apportionment for income taxes and partial reimbursements of property tax assessments related to the value of the campus expansion. These incentives are conditional upon achieving job creation and capital expenditure targets from 2022 to 2029. Failure to meet these targets could result in a reduction of the value of the tax incentives and repayment of previous tax reductions. The value of the allowance to use a market-based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apportionment for income taxes is dependent on our taxable income. We estimate the value of the allowance to use market-based income apportionment for income taxes for tax years 2023 to 2032 and partial reimbursements of property tax assessments related to the value of the campus expansion to be in the range of $275 million to $285 million.</w:t>
      </w:r>
    </w:p>
    <w:p>
      <w:pPr>
        <w:pStyle w:val="TextBody"/>
        <w:bidi w:val="0"/>
        <w:spacing w:lineRule="auto" w:line="288" w:before="200" w:after="200"/>
        <w:ind w:left="0" w:right="0" w:firstLine="360"/>
        <w:jc w:val="both"/>
        <w:rPr/>
      </w:pPr>
      <w:r>
        <w:rPr>
          <w:rFonts w:ascii="Times New Roman;serif" w:hAnsi="Times New Roman;serif"/>
          <w:b w:val="false"/>
          <w:i/>
          <w:color w:val="000000"/>
          <w:sz w:val="20"/>
          <w:shd w:fill="FFFFFF" w:val="clear"/>
        </w:rPr>
        <w:t xml:space="preserve">Stock Repurchase Program. </w:t>
      </w:r>
      <w:r>
        <w:rPr>
          <w:rFonts w:ascii="Times New Roman;serif" w:hAnsi="Times New Roman;serif"/>
          <w:b w:val="false"/>
          <w:color w:val="000000"/>
          <w:sz w:val="20"/>
          <w:shd w:fill="FFFFFF" w:val="clear"/>
        </w:rPr>
        <w:t xml:space="preserve">In February 2025, our </w:t>
      </w:r>
      <w:r>
        <w:rPr>
          <w:rFonts w:ascii="Times New Roman;serif" w:hAnsi="Times New Roman;serif"/>
          <w:b w:val="false"/>
          <w:color w:val="000000"/>
          <w:sz w:val="20"/>
        </w:rPr>
        <w:t>Board of Directors</w:t>
      </w:r>
      <w:r>
        <w:rPr>
          <w:color w:val="000000"/>
          <w:shd w:fill="FFFFFF" w:val="clear"/>
        </w:rPr>
        <w:t xml:space="preserve"> </w:t>
      </w:r>
      <w:r>
        <w:rPr>
          <w:rFonts w:ascii="Times New Roman;serif" w:hAnsi="Times New Roman;serif"/>
          <w:b w:val="false"/>
          <w:color w:val="000000"/>
          <w:sz w:val="20"/>
          <w:shd w:fill="FFFFFF" w:val="clear"/>
        </w:rPr>
        <w:t xml:space="preserve">approved the </w:t>
      </w:r>
      <w:r>
        <w:rPr>
          <w:rFonts w:ascii="Times New Roman;serif" w:hAnsi="Times New Roman;serif"/>
          <w:b w:val="false"/>
          <w:color w:val="000000"/>
          <w:sz w:val="20"/>
        </w:rPr>
        <w:t>Prior Stock Repurchase Program,</w:t>
      </w:r>
      <w:r>
        <w:rPr>
          <w:color w:val="000000"/>
          <w:shd w:fill="FFFFFF" w:val="clear"/>
        </w:rPr>
        <w:t xml:space="preserve"> </w:t>
      </w:r>
      <w:r>
        <w:rPr>
          <w:rFonts w:ascii="Times New Roman;serif" w:hAnsi="Times New Roman;serif"/>
          <w:b w:val="false"/>
          <w:color w:val="000000"/>
          <w:sz w:val="20"/>
          <w:shd w:fill="FFFFFF" w:val="clear"/>
        </w:rPr>
        <w:t xml:space="preserve">which authorized the repurchase of up to </w:t>
      </w:r>
      <w:r>
        <w:rPr>
          <w:rFonts w:ascii="Times New Roman;serif" w:hAnsi="Times New Roman;serif"/>
          <w:b w:val="false"/>
          <w:color w:val="000000"/>
          <w:sz w:val="20"/>
        </w:rPr>
        <w:t xml:space="preserve">$500 million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CoStar Group Share</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 xml:space="preserve">The repurchases under the Prior Stock Repurchase Program were completed in December 2025. In December 2025, the Board of Directors approved a Stock Repurchase Program which authorizes, but does not obligate, the repurchase of up to $1.5 billion of CoStar Group Shares. Stock repurchases may be effected through open market and privately negotiated purchases, from time to time as market conditions shall warrant, or such other method as advised by the Company’s advisors, including without limitation pursuant to an accelerated share repurchase program or issuer self-tender offer.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 </w:t>
      </w:r>
    </w:p>
    <w:p>
      <w:pPr>
        <w:pStyle w:val="TextBody"/>
        <w:bidi w:val="0"/>
        <w:spacing w:lineRule="auto" w:line="288" w:before="0" w:after="200"/>
        <w:ind w:left="0" w:right="0" w:firstLine="360"/>
        <w:jc w:val="both"/>
        <w:rPr/>
      </w:pPr>
      <w:r>
        <w:rPr>
          <w:rFonts w:ascii="Times New Roman;serif" w:hAnsi="Times New Roman;serif"/>
          <w:b w:val="false"/>
          <w:color w:val="000000"/>
          <w:sz w:val="20"/>
          <w:shd w:fill="FFFFFF" w:val="clear"/>
        </w:rPr>
        <w:t xml:space="preserve">During the three months ended March 31, 2026, we repurchased 11.4 million CoStar Group Shares for an aggregate cost of $505 million under the </w:t>
      </w:r>
      <w:r>
        <w:rPr>
          <w:rFonts w:ascii="Times New Roman;serif" w:hAnsi="Times New Roman;serif"/>
          <w:b w:val="false"/>
          <w:color w:val="000000"/>
          <w:sz w:val="20"/>
        </w:rPr>
        <w:t>Stock Repurchase Program</w:t>
      </w:r>
      <w:r>
        <w:rPr>
          <w:rFonts w:ascii="Times New Roman;serif" w:hAnsi="Times New Roman;serif"/>
          <w:b w:val="false"/>
          <w:color w:val="000000"/>
          <w:sz w:val="20"/>
          <w:shd w:fill="FFFFFF" w:val="clear"/>
        </w:rPr>
        <w:t>. As of March 31, 2026, $995 million remains available for repurchases under the Stock Repurchase Program. We anticipate repurchasing at lea</w:t>
      </w:r>
      <w:r>
        <w:rPr>
          <w:rFonts w:ascii="Times New Roman;serif" w:hAnsi="Times New Roman;serif"/>
          <w:b w:val="false"/>
          <w:color w:val="000000"/>
          <w:sz w:val="20"/>
        </w:rPr>
        <w:t>st $195 million of additional CoStar Group Shares in 2026.</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Cash on Hand. </w:t>
      </w:r>
      <w:r>
        <w:rPr>
          <w:rFonts w:ascii="Times New Roman;serif" w:hAnsi="Times New Roman;serif"/>
          <w:b w:val="false"/>
          <w:color w:val="000000"/>
          <w:sz w:val="20"/>
        </w:rPr>
        <w:t>Cash, cash equivalents, and restricted cash decreased</w:t>
      </w:r>
      <w:r>
        <w:rPr>
          <w:color w:val="000000"/>
          <w:shd w:fill="FFFFFF" w:val="clear"/>
        </w:rPr>
        <w:t xml:space="preserve"> </w:t>
      </w:r>
      <w:r>
        <w:rPr>
          <w:rFonts w:ascii="Times New Roman;serif" w:hAnsi="Times New Roman;serif"/>
          <w:b w:val="false"/>
          <w:color w:val="000000"/>
          <w:sz w:val="20"/>
          <w:shd w:fill="FFFFFF" w:val="clear"/>
        </w:rPr>
        <w:t xml:space="preserve">to $1.3 billion as of March 31, 2026, compared to cash, cash equivalents, and restricted cash of $1.7 billion as of December 31, 2025.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cash, cash</w:t>
      </w:r>
      <w:r>
        <w:rPr>
          <w:color w:val="000000"/>
        </w:rPr>
        <w:t xml:space="preserve"> </w:t>
      </w:r>
      <w:r>
        <w:rPr>
          <w:rFonts w:ascii="Times New Roman;serif" w:hAnsi="Times New Roman;serif"/>
          <w:b w:val="false"/>
          <w:color w:val="000000"/>
          <w:sz w:val="20"/>
        </w:rPr>
        <w:t>equivalents, and restricted cash for the three months ended March 31, 2026 was due to $514 million of net cash used in financing activities and $54 million of net cash used in investing activities, partially offset by $152 million of cash provided by operating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three months ended March 31, 2026 was $152 million compared to $53 million for the three months ended March 31, 2025. The $99 million increase in net cash provided by operating activities was primarily driven by an increase in non-cash expenses of $51 million, a decrease in working capital of $30 million and an increase in net income.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March 31, 2026 was $54 million compared to $911 million for the three months ended March 31, 2025, primarily driven by the Matterport and Domain acquisitions in 2025, including the initial purchase of equity securities in Domain and a decrease in purchases of property, equipment, and other assets for new campuses in 2026, partially offset by proceeds from the sale of investments in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three months ended March 31, 2026 was $514 million compared to $47 million for the three months ended March 31, 2025. The increase was primarily driven by repurchases of the Company's outstanding common stock under the Stock Repurchase Program, partially offset by a reduction in the repurchases of restricted stock to satisfy tax withholding obligations and an increase in the proceeds from the exercise of stock options and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and related disclosures in conformity with GAAP requires management to make estimates, judgments, and assumptions that affect the reported amounts of assets, liabilities, revenue and expenses, and related disclosures.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the accounting for the following matters to contain critical accounting estimates: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Intangible assets and goodwill,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taxes,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Business combinations.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an in-depth discussion of each of our significant accounting policies, including the related critical accounting estimates and further information regarding estimates and assumptions involved in their application, see the 2025 Form 10-K and Note 2 of the Notes to the Condensed Consolidated Financial Statements included in Part I of this Report. During the three months ended March 31, 2026, there were no material changes to our critical accounting estimates from those described in the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of the Notes to the Condensed Consolidated Financial Statements included in Part 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made forward-looking statements in this Report and make forward-looking statements in our other reports filed with the SEC, press releases, and conference calls that are subject to risks and uncertainties. Forward-looking statements include information that is not purely historic fact.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forward-looking statements are also identified by words such as “hope,” “anticipate,” “may,” “likely,” “might,” “believe,” “expect,” “observe,” “consider,” “think,” “intend,” “envision,” “will,” “should,” “could,” “would,” “plan,” “target,” “estimate,” “predict,” “continue,” “commit,”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in Item 1A of Part I of our 2025 Form 10-K and “Risk Factors” in Item 1A of Part II of this Report and other unforeseen events or circumstances, could affect our future results and could cause those results or other outcomes to differ materially from those expressed or implied in our forward-looking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attract and retain new clients;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successfully develop and introduce new or updated online marketplace services, information, and analytics;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AI Technologies, such as Homes AI;</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compete successfully against existing or future competitors in attracting advertisers and in general;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fluctuations and market cyclicality;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global economic uncertainties and downturns or a downturn or consolidation in the real estate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hire qualified persons for, or retain and continue to develop, our sales force, or unproductivity of our sales force;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retain and attract highly capable management and operating personnel;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downward pressure that our internal and external investments may place on our operating margins;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increase brand awareness;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attract new advertisers;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successfully identify, finance, integrate, and/or manage costs related to acquisitions;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complete certain strategic transactions if a proposed transaction is subject to review or approval by regulatory authorities pursuant to applicable laws or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realize the benefits of the Matterport Acquisition or the Domain Acquisition;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inability of third-party suppliers upon which Matterport relies to fulfill its needs;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cyberattacks and security vulnerabilities, and technical problems or disruptions;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significant costs associated with undertaking a large infrastructure project;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generate increased revenue from our current or future geographic expansion plans;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acceptance of credit cards and debit cards and facilitation of other customer payments;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climate-related events and other events beyond our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related to attention to climate-related risk and opportunities;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obtain and maintain accurate, comprehensive, or reliable data;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obtain and maintain stable data feeds, or disruption of our data feeds;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enforce or defend our ownership and use of intellectual property;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use of new and evolving technologies, including AI, on our ability to protect our data and intellectual property from misappropriation by third parties;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defend against potential legal liability for collecting, displaying, or distributing information;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obtain or retain listings from real estate brokers, agents, property owners, and apartment property managers;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maintain or establish relationships with third-party listing providers;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comply with the rules and compliance requirements of MLSs;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open source software;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international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foreign currency exchange rate fluctuations;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indebtedness;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a lowering or withdrawal of the ratings assigned to our debt securities by rating agencies;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any actual or perceived failure to comply with privacy or data protection laws, regulations, or standards;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effects of changes in tax laws, regulations, or fiscal and tax policies;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third-party claims, litigation, regulatory proceedings, or government investigations;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return on investment; and</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the risks related to the specific timing, price, and size of repurchases under the Stock Repurchase Program, including that the Stock Repurchase Program may be suspended or discontinued at any time at the Company’s discretion.</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 except as required by applicable law. Additionally, certain information disclosed herein or elsewhere (such as our website) is informed by various stakeholder expectations and third-party frameworks. Such information is not necessarily material for purposes of our SEC reporting, even if we use “material” or similar language. Particularly with respect to climate-related risks and opportunities, materiality is subject to various definitions that differ from, and are often more expansive than, the definition under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information, analytics, and online marketplace services to real estate and related business communities within the regions where we operate, which primarily include North America, Asia-Pacific, Europe, and Latin America. The functional currency for the majority of our operations is the local currency, with the exception of certain international locations for which the functional currency is the British Pound or U.S. Dollar.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Fluctuations in the British Pound, Canadian Dollar, Australian Dollar, and Euro may have an impact on our business, results of operations, and financial position. For the three months ended March 31, 2026, approximately 14% of our revenue was denominated in foreign currencies. For the three months ended March 31, 2026, our revenue would have decreased by approximately $12 million if the U.S. dollar exchange rate used strengthened by 10%. For the three months ended March 31, 2026, our revenue would have increased by approximately $12 million if the U.S. dollar exchange rate used weakened by 10%. In addition, we have assets and liabilities denominated in foreign currencies. As of March 31, 2026, accumulated other comprehensive income included a gain from foreign currency translation adjustments of approximately $131 million.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we have material exposure to market risks associated with changes in interest rates related to cash equivalent securities held as of March 31, 2026. As of March 31, 2026, we had $1.3 billion of cash, cash equivalents, and restricted cash. If there is an increase or decrease in interest rates, there will be a corresponding increase or decrease in the amount of interest earned on our cash and cash equivalents. We currently diversify our cash and cash equivalents holdings amongst multiple financial institutions and AAA-rated Government and Treasury Money Market Funds.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We are subject to interest rate market risk in connection with our revolving credit facility. On May 24, 2024, we entered into the 2024 Credit Agreement, which provides for variable rate borrowings of up to $1.1 billion. On July 1, 2020, we issued </w:t>
      </w:r>
      <w:r>
        <w:rPr>
          <w:rFonts w:ascii="Times New Roman;serif" w:hAnsi="Times New Roman;serif"/>
          <w:b w:val="false"/>
          <w:color w:val="000000"/>
          <w:sz w:val="20"/>
          <w:shd w:fill="FFFFFF" w:val="clear"/>
        </w:rPr>
        <w:t>$1.0 billion</w:t>
      </w:r>
      <w:r>
        <w:rPr>
          <w:color w:val="000000"/>
        </w:rPr>
        <w:t xml:space="preserve"> </w:t>
      </w:r>
      <w:r>
        <w:rPr>
          <w:rFonts w:ascii="Times New Roman;serif" w:hAnsi="Times New Roman;serif"/>
          <w:b w:val="false"/>
          <w:color w:val="000000"/>
          <w:sz w:val="20"/>
        </w:rPr>
        <w:t>aggregate principal amount of Senior Notes. Changes in interest rates would not have a material impact to our current interest and debt financing expense, as all of our borrowings except for our credit facility are fixed rate, and no amounts were outstanding under our credit facility as of March 31, 2026. See Note 9 of the Notes to the Condensed Consolidated Financial Statements included in Part I of this Report for additional information regarding our 2024 Credit Agreement.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approximately $6.7 billion of goodwill and intangible assets as of March 31, 2026. As of March 31, 2026, we believe our intangible assets will be recoverable; however, changes in the economy, the industry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assets. We continue to monitor these assumptions and their effect on the estimated recoverability of our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our reports filed or submitted under the Exchange Act is recorded, processed, summarized, and reported within the time periods specified in the SEC’s rules and forms. These controls also are designed to ensure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systems of controls and procedures, no matter how well designed and operated, can provide only reasonable assurance of achieving their objectives. Accordingly, management is required to apply judgment in evaluating the cost-benefit relationship of possible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under the supervision and with the participation of our management, including our Chief Executive Officer and our Chief Financial Officer, we evaluated the effectiveness of our disclosure controls and procedures. Based on this evaluation, our Chief Executive Officer and Chief Financial Officer concluded that our disclosure controls and procedures were effective as of March 31, 2026, and were operating at a reasonable assurance level.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continuing to integrate the internal controls over financial reporting of recent acquisitions. These activities may require modifications to certain processes, systems, and other components of internal controls over financial reporting. Consistent with our process changes, we evaluate the design and effectiveness of the internal controls as part of our overall assessment of disclosure controls and procedures.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the integration activities associated with recent acquisitions, there were no changes in our internal control over financial reporting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Currently, and from time to time, we are involved in litigation incidental to the conduct of our business. We are not currently a party to any lawsuit or proceeding that, in the opinion of our management based on consultations with legal counsel, is likely to have a material adverse effect on our financial position or results of operations. See Note 11 of the Notes to the Condensed Consolidated Financial Statements included in Part I of this Report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factors disclosed in Part I, Item 1A, “Risk Factors” in our 2025 Form 10-K, which could materially affect our business, financial condition or future results. Additional risks and uncertainties not currently known to us, or that we currently deem to be immaterial, may also have a material adverse effect on our business, financial condition, and/or results of operations. There have not been any material changes to the risk factors as previously disclosed in Part I, Item 1A, "Risk Factors”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repurchases of common stock during each of the three months ended March 31, 2026:</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609"/>
        <w:gridCol w:w="493"/>
        <w:gridCol w:w="499"/>
        <w:gridCol w:w="109"/>
        <w:gridCol w:w="109"/>
        <w:gridCol w:w="109"/>
        <w:gridCol w:w="405"/>
        <w:gridCol w:w="405"/>
        <w:gridCol w:w="406"/>
        <w:gridCol w:w="109"/>
        <w:gridCol w:w="109"/>
        <w:gridCol w:w="109"/>
        <w:gridCol w:w="215"/>
        <w:gridCol w:w="629"/>
        <w:gridCol w:w="111"/>
        <w:gridCol w:w="109"/>
        <w:gridCol w:w="109"/>
        <w:gridCol w:w="109"/>
        <w:gridCol w:w="408"/>
        <w:gridCol w:w="408"/>
        <w:gridCol w:w="409"/>
        <w:gridCol w:w="109"/>
        <w:gridCol w:w="109"/>
        <w:gridCol w:w="109"/>
        <w:gridCol w:w="836"/>
        <w:gridCol w:w="2445"/>
        <w:gridCol w:w="619"/>
      </w:tblGrid>
      <w:tr>
        <w:trPr/>
        <w:tc>
          <w:tcPr>
            <w:tcW w:w="6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88" w:before="0" w:after="0"/>
              <w:jc w:val="center"/>
              <w:rPr/>
            </w:pPr>
            <w:r>
              <w:rPr>
                <w:rFonts w:ascii="Times New Roman;serif" w:hAnsi="Times New Roman;serif"/>
                <w:b/>
                <w:color w:val="000000"/>
                <w:sz w:val="20"/>
              </w:rPr>
              <w:t>Purchased</w:t>
            </w:r>
            <w:r>
              <w:rPr>
                <w:rFonts w:ascii="Times New Roman;serif" w:hAnsi="Times New Roman;serif"/>
                <w:b/>
                <w:color w:val="000000"/>
                <w:sz w:val="13"/>
              </w:rPr>
              <w:t>(1)</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Purchased as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of Publicly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Announced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Plans or</w:t>
            </w:r>
          </w:p>
          <w:p>
            <w:pPr>
              <w:pStyle w:val="TableContents"/>
              <w:bidi w:val="0"/>
              <w:spacing w:lineRule="auto" w:line="288" w:before="0" w:after="0"/>
              <w:jc w:val="center"/>
              <w:rPr/>
            </w:pPr>
            <w:r>
              <w:rPr>
                <w:rFonts w:ascii="Times New Roman;serif" w:hAnsi="Times New Roman;serif"/>
                <w:b/>
                <w:color w:val="000000"/>
                <w:sz w:val="20"/>
              </w:rPr>
              <w:t>Programs</w:t>
            </w:r>
            <w:r>
              <w:rPr>
                <w:rFonts w:ascii="Times New Roman;serif" w:hAnsi="Times New Roman;serif"/>
                <w:b/>
                <w:color w:val="000000"/>
                <w:sz w:val="13"/>
              </w:rPr>
              <w:t>(2)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Approximate Dollar Value of Shares that May Yet Be Purchased Under the Plans or Program</w:t>
            </w:r>
            <w:r>
              <w:rPr>
                <w:rFonts w:ascii="Times New Roman;serif" w:hAnsi="Times New Roman;serif"/>
                <w:b/>
                <w:color w:val="000000"/>
                <w:sz w:val="13"/>
              </w:rPr>
              <w:t>(2)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through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through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 through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number includes CoStar Group Shares tendered by employees to the Company to satisfy the employees' minimum tax withholding obligations arising as a result of vesting of restricted stock grants under the Company’s 2025 Stock Incentive Plan, for which shares were purchased by the Company based on their fair market value on the trading day immediately preceding the vesting date. </w:t>
      </w:r>
    </w:p>
    <w:p>
      <w:pPr>
        <w:pStyle w:val="TextBody"/>
        <w:bidi w:val="0"/>
        <w:spacing w:lineRule="auto" w:line="26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In December 2025, the Board of Directors approved the Stock Repurchase Program which authorizes the repurchase of up to $1.5 billion of outstanding CoStar Group Shares, with no expiration date. During the three months ended March 31, 2026, the Company repurc</w:t>
      </w:r>
      <w:r>
        <w:rPr>
          <w:rFonts w:ascii="Times New Roman;serif" w:hAnsi="Times New Roman;serif"/>
          <w:b w:val="false"/>
          <w:color w:val="000000"/>
          <w:sz w:val="18"/>
        </w:rPr>
        <w:t xml:space="preserve">hased </w:t>
      </w:r>
      <w:r>
        <w:rPr>
          <w:rFonts w:ascii="Times New Roman;serif" w:hAnsi="Times New Roman;serif"/>
          <w:b w:val="false"/>
          <w:color w:val="000000"/>
          <w:sz w:val="16"/>
        </w:rPr>
        <w:t xml:space="preserve">11.4 million </w:t>
      </w:r>
      <w:r>
        <w:rPr>
          <w:rFonts w:ascii="Times New Roman;serif" w:hAnsi="Times New Roman;serif"/>
          <w:b w:val="false"/>
          <w:color w:val="000000"/>
          <w:sz w:val="18"/>
        </w:rPr>
        <w:t>C</w:t>
      </w:r>
      <w:r>
        <w:rPr>
          <w:rFonts w:ascii="Times New Roman;serif" w:hAnsi="Times New Roman;serif"/>
          <w:b w:val="false"/>
          <w:color w:val="000000"/>
          <w:sz w:val="16"/>
        </w:rPr>
        <w:t>oStar Group Shares for an aggregate cost of $505 million. See Note 13 for further discussion regarding the Stock Repurchase Program and stock repurchase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5"/>
        <w:gridCol w:w="251"/>
        <w:gridCol w:w="253"/>
        <w:gridCol w:w="109"/>
        <w:gridCol w:w="109"/>
        <w:gridCol w:w="109"/>
        <w:gridCol w:w="2756"/>
        <w:gridCol w:w="2618"/>
        <w:gridCol w:w="3715"/>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Fourth Amended and Restated Certificate of Incorporation (Incorporated by reference to Exhibit 3.1 to the Registrant's Current Report on Form 8-K filed with the SEC on June 7, 2021).</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Fourth Amended and Restated By-Laws (Incorporated by reference to Exhibit 3.1 to the Registrant's Current Report on Form 8-K filed with the SEC on May 9, 2022).</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Inc. Executive Severance Plan, dated as of January 6, 2026 (Incorporated by reference to Exhibit 10.2 to the Registrant's Current Report on Form 8-K filed with the SEC on January 7, 2026).</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Inc. Amended Executive Severance Plan, dated as of February 13, 2026 (Incorporated by reference to Exhibit 10.1 to the Registrant's Current Report on Form 8-K filed with the SEC on February 13, 2026).</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7">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dated January 6, 2026, to the Employment Agreement between CoStar Realty Information, Inc. and Andrew C. Florance (Incorporated by reference to Exhibit 10.1 to the Registrant's Current Report on Form 8-K filed with the SEC on January 7, 2026).</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sgp-033126x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Section 302 of the Sarbanes-Oxley Act of 2002 (filed herewith).</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sgp-033126x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 (filed herewith).</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sgp-033126x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18 U.S.C. Sec. 1350, as adopted pursuant to Section 906 of the Sarbanes-Oxley Act of 2002 (furnished herewith).</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sgp-033126x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 1350, as adopted pursuant to Section 906 of the Sarbanes-Oxley Act of 2002 (furnished herewith).</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quarterly period ended March 31, 2026, formatted in Inline XBRL: (i) Condensed Consolidated Statements of Operations; (ii) Condensed Consolidated Statements of Comprehensive Income; (iii) Condensed Consolidated Balance Sheets; (iv) Condensed Consolidated Statements of Changes in Stockholders’ Equity; (v) Condensed Consolidated Statements of Cash Flows; and (vi) Notes to Condensed Consolidated Financial Statements, tagged as blocks of text and including detailed tags.</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Registrant's Quarterly Report on Form 10-Q for the quarterly period ended March 31, 2026, formatted in Inline XBRL (included as Exhibit 101).</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00"/>
        <w:ind w:left="0" w:right="0" w:firstLine="360"/>
        <w:jc w:val="both"/>
        <w:rPr>
          <w:color w:val="000000"/>
        </w:rPr>
      </w:pPr>
      <w:r>
        <w:rPr>
          <w:color w:val="000000"/>
        </w:rPr>
        <w:t> </w:t>
      </w:r>
    </w:p>
    <w:tbl>
      <w:tblPr>
        <w:tblW w:w="7988"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229"/>
        <w:gridCol w:w="229"/>
        <w:gridCol w:w="229"/>
        <w:gridCol w:w="229"/>
        <w:gridCol w:w="229"/>
        <w:gridCol w:w="229"/>
        <w:gridCol w:w="1395"/>
        <w:gridCol w:w="1395"/>
        <w:gridCol w:w="198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44" w:type="dxa"/>
            <w:gridSpan w:val="9"/>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COSTAR GROUP, INC.</w:t>
            </w:r>
          </w:p>
          <w:p>
            <w:pPr>
              <w:pStyle w:val="TableContents"/>
              <w:bidi w:val="0"/>
              <w:spacing w:lineRule="auto" w:line="288"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Christian M. Lown     </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Christian M. Lown</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Andrew C. Florance,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CoStar Group,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674"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410"/>
        <w:gridCol w:w="1410"/>
        <w:gridCol w:w="201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Andrew C. Florance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Florance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Christian M. Lown,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CoStar Group,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613"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94"/>
        <w:gridCol w:w="1394"/>
        <w:gridCol w:w="198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Christian M. Lown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M. Lown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1331 L Street, NW</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20005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Re</w:t>
      </w:r>
      <w:r>
        <w:rPr>
          <w:rFonts w:ascii="Times New Roman;serif" w:hAnsi="Times New Roman;serif"/>
          <w:b/>
          <w:color w:val="000000"/>
          <w:sz w:val="20"/>
        </w:rPr>
        <w:t xml:space="preserve">: </w:t>
      </w:r>
      <w:r>
        <w:rPr>
          <w:rFonts w:ascii="Times New Roman;serif" w:hAnsi="Times New Roman;serif"/>
          <w:b/>
          <w:color w:val="000000"/>
          <w:sz w:val="20"/>
          <w:u w:val="single"/>
        </w:rPr>
        <w:t>Certification Of Principal Executive Officer Pursuant To 18 U.S.C. Sec.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Dear Ladies and Gentlemen: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on Form 10-Q of CoStar Group, Inc., for the quarter ended March 31, 2026, I, Andrew C. Florance, Chief Executive Officer of CoStar Group, Inc.,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such Quarterly Report on Form 10-Q of CoStar Group, Inc., for the quarter ended March 31, 2026, fully complies with the requirements of Section 13(a) or 15(d) of the Securities Exchange Act of 1934 (15 U.S.C. 78m or 78o(d));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such Quarterly Report on Form 10-Q of CoStar Group, Inc., for the quarter ended March 31, 2026, fairly presents, in all material respects, the financial condition and results of operations of CoStar Group, Inc.</w:t>
      </w:r>
    </w:p>
    <w:p>
      <w:pPr>
        <w:pStyle w:val="TextBody"/>
        <w:bidi w:val="0"/>
        <w:spacing w:before="0" w:after="0"/>
        <w:jc w:val="left"/>
        <w:rPr/>
      </w:pPr>
      <w:r>
        <w:rPr/>
      </w:r>
    </w:p>
    <w:tbl>
      <w:tblPr>
        <w:tblW w:w="5250" w:type="dxa"/>
        <w:jc w:val="right"/>
        <w:tblInd w:w="0" w:type="dxa"/>
        <w:tblLayout w:type="fixed"/>
        <w:tblCellMar>
          <w:top w:w="28" w:type="dxa"/>
          <w:left w:w="28" w:type="dxa"/>
          <w:bottom w:w="28" w:type="dxa"/>
          <w:right w:w="28" w:type="dxa"/>
        </w:tblCellMar>
      </w:tblPr>
      <w:tblGrid>
        <w:gridCol w:w="151"/>
        <w:gridCol w:w="134"/>
        <w:gridCol w:w="135"/>
        <w:gridCol w:w="1410"/>
        <w:gridCol w:w="1410"/>
        <w:gridCol w:w="201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Florance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Florance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Duly Authorized Officer)</w:t>
            </w:r>
          </w:p>
        </w:tc>
      </w:tr>
    </w:tbl>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Item 601 of Regulation S-K, this certification is being “furnished” as Exhibit 32.1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CoStar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1331 L Street, NW</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20005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April 29,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Re</w:t>
      </w:r>
      <w:r>
        <w:rPr>
          <w:rFonts w:ascii="Times New Roman;serif" w:hAnsi="Times New Roman;serif"/>
          <w:b/>
          <w:color w:val="000000"/>
          <w:sz w:val="20"/>
        </w:rPr>
        <w:t xml:space="preserve">: </w:t>
      </w:r>
      <w:r>
        <w:rPr>
          <w:rFonts w:ascii="Times New Roman;serif" w:hAnsi="Times New Roman;serif"/>
          <w:b/>
          <w:color w:val="000000"/>
          <w:sz w:val="20"/>
          <w:u w:val="single"/>
        </w:rPr>
        <w:t>Certification Of Principal Financial Officer Pursuant To 18 U.S.C. Sec.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Dear Ladies and Gentlemen: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on Form 10-Q of CoStar Group, Inc., for the quarter ended March 31, 2026, I, Christian M. Lown, Chief Financial Officer of CoStar Group, Inc.,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such Quarterly Report on Form 10-Q of CoStar Group, Inc., for the quarter ended March 31, 2026, fully complies with the requirements of Section 13(a) or 15(d) of the Securities Exchange Act of 1934 (15 U.S.C. 78m or 78o(d));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such Quarterly Report on Form 10-Q of CoStar Group, Inc., for the quarter ended March 31, 2026, fairly presents, in all material respects, the financial condition and results of operations of CoStar Group, Inc.</w:t>
      </w:r>
    </w:p>
    <w:p>
      <w:pPr>
        <w:pStyle w:val="TextBody"/>
        <w:bidi w:val="0"/>
        <w:spacing w:before="0" w:after="0"/>
        <w:jc w:val="left"/>
        <w:rPr/>
      </w:pPr>
      <w:r>
        <w:rPr/>
      </w:r>
    </w:p>
    <w:tbl>
      <w:tblPr>
        <w:tblW w:w="5190" w:type="dxa"/>
        <w:jc w:val="right"/>
        <w:tblInd w:w="0" w:type="dxa"/>
        <w:tblLayout w:type="fixed"/>
        <w:tblCellMar>
          <w:top w:w="28" w:type="dxa"/>
          <w:left w:w="28" w:type="dxa"/>
          <w:bottom w:w="28" w:type="dxa"/>
          <w:right w:w="28" w:type="dxa"/>
        </w:tblCellMar>
      </w:tblPr>
      <w:tblGrid>
        <w:gridCol w:w="151"/>
        <w:gridCol w:w="134"/>
        <w:gridCol w:w="135"/>
        <w:gridCol w:w="1394"/>
        <w:gridCol w:w="1394"/>
        <w:gridCol w:w="198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Christian M. Lown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M. Lown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Item 601 of Regulation S-K, this certification is being “furnished” as Exhibit 32.2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057352/000105735221000074/ex31-fourtharcharter.htm" TargetMode="External"/><Relationship Id="rId4" Type="http://schemas.openxmlformats.org/officeDocument/2006/relationships/hyperlink" Target="https://www.sec.gov/Archives/edgar/data/1057352/000105735222000069/fourthamendedandrestatedby.htm" TargetMode="External"/><Relationship Id="rId5" Type="http://schemas.openxmlformats.org/officeDocument/2006/relationships/hyperlink" Target="https://www.sec.gov/Archives/edgar/data/1057352/000105735226000004/a20260106executivesevera.htm" TargetMode="External"/><Relationship Id="rId6" Type="http://schemas.openxmlformats.org/officeDocument/2006/relationships/hyperlink" Target="https://www.sec.gov/Archives/edgar/data/1057352/000105735226000008/a20260213amendedexecutiv.htm" TargetMode="External"/><Relationship Id="rId7" Type="http://schemas.openxmlformats.org/officeDocument/2006/relationships/hyperlink" Target="https://www.sec.gov/Archives/edgar/data/1057352/000105735226000004/a20260106secondamendment.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29722</Words>
  <Characters>166269</Characters>
  <CharactersWithSpaces>194365</CharactersWithSpaces>
  <Paragraphs>2914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