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UNITED STATES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ind w:left="3060" w:right="2199" w:hanging="2631"/>
        <w:spacing w:after="0" w:line="235" w:lineRule="auto"/>
        <w:tabs>
          <w:tab w:leader="none" w:pos="1058"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QUARTERLY PERIOD ENDED: MARCH 31, 2000</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jc w:val="center"/>
        <w:ind w:left="3060" w:right="2199" w:hanging="2736"/>
        <w:spacing w:after="0" w:line="235" w:lineRule="auto"/>
        <w:tabs>
          <w:tab w:leader="none" w:pos="53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03"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FOR THE TRANSITION PERIOD FROM ________ TO ________</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COMMISSION FILE NUMBER: 0-24531</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COSTAR GROUP, INC.</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1" w:lineRule="exact"/>
        <w:rPr>
          <w:sz w:val="24"/>
          <w:szCs w:val="24"/>
          <w:color w:val="auto"/>
        </w:rPr>
      </w:pPr>
    </w:p>
    <w:tbl>
      <w:tblPr>
        <w:tblLayout w:type="fixed"/>
        <w:tblInd w:w="1060" w:type="dxa"/>
        <w:tblCellMar>
          <w:top w:w="0" w:type="dxa"/>
          <w:left w:w="0" w:type="dxa"/>
          <w:bottom w:w="0" w:type="dxa"/>
          <w:right w:w="0" w:type="dxa"/>
        </w:tblCellMar>
      </w:tblPr>
      <w:tr>
        <w:trPr>
          <w:trHeight w:val="204"/>
        </w:trPr>
        <w:tc>
          <w:tcPr>
            <w:tcW w:w="3740" w:type="dxa"/>
            <w:vAlign w:val="bottom"/>
          </w:tcPr>
          <w:p>
            <w:pPr>
              <w:ind w:left="1160"/>
              <w:spacing w:after="0"/>
              <w:rPr>
                <w:sz w:val="20"/>
                <w:szCs w:val="20"/>
                <w:color w:val="auto"/>
              </w:rPr>
            </w:pPr>
            <w:r>
              <w:rPr>
                <w:rFonts w:ascii="Courier New" w:cs="Courier New" w:eastAsia="Courier New" w:hAnsi="Courier New"/>
                <w:sz w:val="18"/>
                <w:szCs w:val="18"/>
                <w:color w:val="auto"/>
              </w:rPr>
              <w:t>DELAWARE</w:t>
            </w:r>
          </w:p>
        </w:tc>
        <w:tc>
          <w:tcPr>
            <w:tcW w:w="28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52-2091509</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2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2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NUMBER)</w:t>
            </w:r>
          </w:p>
        </w:tc>
      </w:tr>
    </w:tbl>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2 BETHESDA METRO CENTER</w:t>
      </w:r>
    </w:p>
    <w:p>
      <w:pPr>
        <w:jc w:val="center"/>
        <w:ind w:right="1779"/>
        <w:spacing w:after="0" w:line="238" w:lineRule="auto"/>
        <w:rPr>
          <w:sz w:val="20"/>
          <w:szCs w:val="20"/>
          <w:color w:val="auto"/>
        </w:rPr>
      </w:pPr>
      <w:r>
        <w:rPr>
          <w:rFonts w:ascii="Courier New" w:cs="Courier New" w:eastAsia="Courier New" w:hAnsi="Courier New"/>
          <w:sz w:val="18"/>
          <w:szCs w:val="18"/>
          <w:color w:val="auto"/>
        </w:rPr>
        <w:t>BETHESDA, MD 20814</w:t>
      </w:r>
    </w:p>
    <w:p>
      <w:pPr>
        <w:jc w:val="center"/>
        <w:ind w:right="1779"/>
        <w:spacing w:after="0"/>
        <w:rPr>
          <w:sz w:val="20"/>
          <w:szCs w:val="20"/>
          <w:color w:val="auto"/>
        </w:rPr>
      </w:pPr>
      <w:r>
        <w:rPr>
          <w:rFonts w:ascii="Courier New" w:cs="Courier New" w:eastAsia="Courier New" w:hAnsi="Courier New"/>
          <w:sz w:val="18"/>
          <w:szCs w:val="18"/>
          <w:color w:val="auto"/>
        </w:rPr>
        <w:t>(301) 215-8300</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(ADDRESS, INCLUDING ZIP CODE, AND TELEPHONE NUMBER, INCLUDING AREA CODE, OF</w:t>
      </w:r>
    </w:p>
    <w:p>
      <w:pPr>
        <w:jc w:val="center"/>
        <w:ind w:right="1879"/>
        <w:spacing w:after="0" w:line="238" w:lineRule="auto"/>
        <w:rPr>
          <w:sz w:val="20"/>
          <w:szCs w:val="20"/>
          <w:color w:val="auto"/>
        </w:rPr>
      </w:pPr>
      <w:r>
        <w:rPr>
          <w:rFonts w:ascii="Courier New" w:cs="Courier New" w:eastAsia="Courier New" w:hAnsi="Courier New"/>
          <w:sz w:val="18"/>
          <w:szCs w:val="18"/>
          <w:color w:val="auto"/>
        </w:rPr>
        <w:t>REGISTRANT'S PRINCIPAL EXECUTIVE OFFICES)</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X ] - No [ ]</w:t>
      </w:r>
    </w:p>
    <w:p>
      <w:pPr>
        <w:spacing w:after="0" w:line="209" w:lineRule="exact"/>
        <w:rPr>
          <w:sz w:val="24"/>
          <w:szCs w:val="24"/>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As of April 1, 2000, there were 15,375,748 shares outstanding of the Registrant's Common Stock, par value $.01.</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17"/>
                <w:szCs w:val="17"/>
                <w:color w:val="auto"/>
              </w:rPr>
            </w:pPr>
          </w:p>
        </w:tc>
        <w:tc>
          <w:tcPr>
            <w:tcW w:w="6960" w:type="dxa"/>
            <w:vAlign w:val="bottom"/>
          </w:tcPr>
          <w:p>
            <w:pPr>
              <w:jc w:val="right"/>
              <w:ind w:right="2772"/>
              <w:spacing w:after="0"/>
              <w:rPr>
                <w:sz w:val="20"/>
                <w:szCs w:val="20"/>
                <w:color w:val="auto"/>
              </w:rPr>
            </w:pPr>
            <w:r>
              <w:rPr>
                <w:rFonts w:ascii="Courier New" w:cs="Courier New" w:eastAsia="Courier New" w:hAnsi="Courier New"/>
                <w:sz w:val="18"/>
                <w:szCs w:val="18"/>
                <w:color w:val="auto"/>
              </w:rPr>
              <w:t>COSTAR GROUP, INC.</w:t>
            </w:r>
          </w:p>
        </w:tc>
        <w:tc>
          <w:tcPr>
            <w:tcW w:w="200" w:type="dxa"/>
            <w:vAlign w:val="bottom"/>
          </w:tcPr>
          <w:p>
            <w:pPr>
              <w:spacing w:after="0"/>
              <w:rPr>
                <w:sz w:val="17"/>
                <w:szCs w:val="17"/>
                <w:color w:val="auto"/>
              </w:rPr>
            </w:pPr>
          </w:p>
        </w:tc>
      </w:tr>
      <w:tr>
        <w:trPr>
          <w:trHeight w:val="405"/>
        </w:trPr>
        <w:tc>
          <w:tcPr>
            <w:tcW w:w="1060" w:type="dxa"/>
            <w:vAlign w:val="bottom"/>
          </w:tcPr>
          <w:p>
            <w:pPr>
              <w:spacing w:after="0"/>
              <w:rPr>
                <w:sz w:val="24"/>
                <w:szCs w:val="24"/>
                <w:color w:val="auto"/>
              </w:rPr>
            </w:pPr>
          </w:p>
        </w:tc>
        <w:tc>
          <w:tcPr>
            <w:tcW w:w="6960" w:type="dxa"/>
            <w:vAlign w:val="bottom"/>
          </w:tcPr>
          <w:p>
            <w:pPr>
              <w:jc w:val="right"/>
              <w:ind w:right="2772"/>
              <w:spacing w:after="0"/>
              <w:rPr>
                <w:sz w:val="20"/>
                <w:szCs w:val="20"/>
                <w:color w:val="auto"/>
              </w:rPr>
            </w:pPr>
            <w:r>
              <w:rPr>
                <w:rFonts w:ascii="Courier New" w:cs="Courier New" w:eastAsia="Courier New" w:hAnsi="Courier New"/>
                <w:sz w:val="18"/>
                <w:szCs w:val="18"/>
                <w:color w:val="auto"/>
              </w:rPr>
              <w:t>TABLE OF CONTENTS</w:t>
            </w:r>
          </w:p>
        </w:tc>
        <w:tc>
          <w:tcPr>
            <w:tcW w:w="200" w:type="dxa"/>
            <w:vAlign w:val="bottom"/>
          </w:tcPr>
          <w:p>
            <w:pPr>
              <w:spacing w:after="0"/>
              <w:rPr>
                <w:sz w:val="24"/>
                <w:szCs w:val="24"/>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PART I -</w:t>
            </w:r>
          </w:p>
        </w:tc>
        <w:tc>
          <w:tcPr>
            <w:tcW w:w="6960" w:type="dxa"/>
            <w:vAlign w:val="bottom"/>
          </w:tcPr>
          <w:p>
            <w:pPr>
              <w:ind w:left="1680"/>
              <w:spacing w:after="0"/>
              <w:rPr>
                <w:sz w:val="20"/>
                <w:szCs w:val="20"/>
                <w:color w:val="auto"/>
              </w:rPr>
            </w:pPr>
            <w:r>
              <w:rPr>
                <w:rFonts w:ascii="Courier New" w:cs="Courier New" w:eastAsia="Courier New" w:hAnsi="Courier New"/>
                <w:sz w:val="18"/>
                <w:szCs w:val="18"/>
                <w:color w:val="auto"/>
              </w:rPr>
              <w:t>FINANCIAL INFORMATION</w:t>
            </w:r>
          </w:p>
        </w:tc>
        <w:tc>
          <w:tcPr>
            <w:tcW w:w="200" w:type="dxa"/>
            <w:vAlign w:val="bottom"/>
          </w:tcPr>
          <w:p>
            <w:pPr>
              <w:spacing w:after="0"/>
              <w:rPr>
                <w:sz w:val="24"/>
                <w:szCs w:val="24"/>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1 -</w:t>
            </w:r>
          </w:p>
        </w:tc>
        <w:tc>
          <w:tcPr>
            <w:tcW w:w="6960" w:type="dxa"/>
            <w:vAlign w:val="bottom"/>
          </w:tcPr>
          <w:p>
            <w:pPr>
              <w:spacing w:after="0"/>
              <w:rPr>
                <w:sz w:val="20"/>
                <w:szCs w:val="20"/>
                <w:color w:val="auto"/>
              </w:rPr>
            </w:pPr>
            <w:r>
              <w:rPr>
                <w:rFonts w:ascii="Courier New" w:cs="Courier New" w:eastAsia="Courier New" w:hAnsi="Courier New"/>
                <w:sz w:val="18"/>
                <w:szCs w:val="18"/>
                <w:color w:val="auto"/>
              </w:rPr>
              <w:t>Financial Statements</w:t>
            </w:r>
          </w:p>
        </w:tc>
        <w:tc>
          <w:tcPr>
            <w:tcW w:w="200" w:type="dxa"/>
            <w:vAlign w:val="bottom"/>
          </w:tcPr>
          <w:p>
            <w:pPr>
              <w:spacing w:after="0"/>
              <w:rPr>
                <w:sz w:val="24"/>
                <w:szCs w:val="24"/>
                <w:color w:val="auto"/>
              </w:rPr>
            </w:pPr>
          </w:p>
        </w:tc>
      </w:tr>
      <w:tr>
        <w:trPr>
          <w:trHeight w:val="405"/>
        </w:trPr>
        <w:tc>
          <w:tcPr>
            <w:tcW w:w="1060" w:type="dxa"/>
            <w:vAlign w:val="bottom"/>
          </w:tcPr>
          <w:p>
            <w:pPr>
              <w:spacing w:after="0"/>
              <w:rPr>
                <w:sz w:val="24"/>
                <w:szCs w:val="24"/>
                <w:color w:val="auto"/>
              </w:rPr>
            </w:pPr>
          </w:p>
        </w:tc>
        <w:tc>
          <w:tcPr>
            <w:tcW w:w="6960" w:type="dxa"/>
            <w:vAlign w:val="bottom"/>
          </w:tcPr>
          <w:p>
            <w:pPr>
              <w:spacing w:after="0"/>
              <w:rPr>
                <w:sz w:val="20"/>
                <w:szCs w:val="20"/>
                <w:color w:val="auto"/>
              </w:rPr>
            </w:pPr>
            <w:r>
              <w:rPr>
                <w:rFonts w:ascii="Courier New" w:cs="Courier New" w:eastAsia="Courier New" w:hAnsi="Courier New"/>
                <w:sz w:val="18"/>
                <w:szCs w:val="18"/>
                <w:color w:val="auto"/>
                <w:w w:val="95"/>
              </w:rPr>
              <w:t>Condensed Consolidated Statements of Operations....................</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r>
      <w:tr>
        <w:trPr>
          <w:trHeight w:val="405"/>
        </w:trPr>
        <w:tc>
          <w:tcPr>
            <w:tcW w:w="1060" w:type="dxa"/>
            <w:vAlign w:val="bottom"/>
          </w:tcPr>
          <w:p>
            <w:pPr>
              <w:spacing w:after="0"/>
              <w:rPr>
                <w:sz w:val="24"/>
                <w:szCs w:val="24"/>
                <w:color w:val="auto"/>
              </w:rPr>
            </w:pPr>
          </w:p>
        </w:tc>
        <w:tc>
          <w:tcPr>
            <w:tcW w:w="6960" w:type="dxa"/>
            <w:vAlign w:val="bottom"/>
          </w:tcPr>
          <w:p>
            <w:pPr>
              <w:spacing w:after="0"/>
              <w:rPr>
                <w:sz w:val="20"/>
                <w:szCs w:val="20"/>
                <w:color w:val="auto"/>
              </w:rPr>
            </w:pPr>
            <w:r>
              <w:rPr>
                <w:rFonts w:ascii="Courier New" w:cs="Courier New" w:eastAsia="Courier New" w:hAnsi="Courier New"/>
                <w:sz w:val="18"/>
                <w:szCs w:val="18"/>
                <w:color w:val="auto"/>
                <w:w w:val="95"/>
              </w:rPr>
              <w:t>Condensed Consolidated Balance Sheets..............................</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r>
      <w:tr>
        <w:trPr>
          <w:trHeight w:val="405"/>
        </w:trPr>
        <w:tc>
          <w:tcPr>
            <w:tcW w:w="1060" w:type="dxa"/>
            <w:vAlign w:val="bottom"/>
          </w:tcPr>
          <w:p>
            <w:pPr>
              <w:spacing w:after="0"/>
              <w:rPr>
                <w:sz w:val="24"/>
                <w:szCs w:val="24"/>
                <w:color w:val="auto"/>
              </w:rPr>
            </w:pPr>
          </w:p>
        </w:tc>
        <w:tc>
          <w:tcPr>
            <w:tcW w:w="6960" w:type="dxa"/>
            <w:vAlign w:val="bottom"/>
          </w:tcPr>
          <w:p>
            <w:pPr>
              <w:spacing w:after="0"/>
              <w:rPr>
                <w:sz w:val="20"/>
                <w:szCs w:val="20"/>
                <w:color w:val="auto"/>
              </w:rPr>
            </w:pPr>
            <w:r>
              <w:rPr>
                <w:rFonts w:ascii="Courier New" w:cs="Courier New" w:eastAsia="Courier New" w:hAnsi="Courier New"/>
                <w:sz w:val="18"/>
                <w:szCs w:val="18"/>
                <w:color w:val="auto"/>
                <w:w w:val="95"/>
              </w:rPr>
              <w:t>Condensed Consolidated Statements of Cash Flows....................</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r>
        <w:trPr>
          <w:trHeight w:val="405"/>
        </w:trPr>
        <w:tc>
          <w:tcPr>
            <w:tcW w:w="1060" w:type="dxa"/>
            <w:vAlign w:val="bottom"/>
          </w:tcPr>
          <w:p>
            <w:pPr>
              <w:spacing w:after="0"/>
              <w:rPr>
                <w:sz w:val="24"/>
                <w:szCs w:val="24"/>
                <w:color w:val="auto"/>
              </w:rPr>
            </w:pPr>
          </w:p>
        </w:tc>
        <w:tc>
          <w:tcPr>
            <w:tcW w:w="6960" w:type="dxa"/>
            <w:vAlign w:val="bottom"/>
          </w:tcPr>
          <w:p>
            <w:pPr>
              <w:spacing w:after="0"/>
              <w:rPr>
                <w:sz w:val="20"/>
                <w:szCs w:val="20"/>
                <w:color w:val="auto"/>
              </w:rPr>
            </w:pPr>
            <w:r>
              <w:rPr>
                <w:rFonts w:ascii="Courier New" w:cs="Courier New" w:eastAsia="Courier New" w:hAnsi="Courier New"/>
                <w:sz w:val="18"/>
                <w:szCs w:val="18"/>
                <w:color w:val="auto"/>
                <w:w w:val="95"/>
              </w:rPr>
              <w:t>Notes to Condensed Consolidated Financial Statements...............</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2 -</w:t>
            </w:r>
          </w:p>
        </w:tc>
        <w:tc>
          <w:tcPr>
            <w:tcW w:w="6960" w:type="dxa"/>
            <w:vAlign w:val="bottom"/>
          </w:tcPr>
          <w:p>
            <w:pPr>
              <w:spacing w:after="0"/>
              <w:rPr>
                <w:sz w:val="20"/>
                <w:szCs w:val="20"/>
                <w:color w:val="auto"/>
              </w:rPr>
            </w:pPr>
            <w:r>
              <w:rPr>
                <w:rFonts w:ascii="Courier New" w:cs="Courier New" w:eastAsia="Courier New" w:hAnsi="Courier New"/>
                <w:sz w:val="18"/>
                <w:szCs w:val="18"/>
                <w:color w:val="auto"/>
              </w:rPr>
              <w:t>Management's Discussion and Analysis of</w:t>
            </w:r>
          </w:p>
        </w:tc>
        <w:tc>
          <w:tcPr>
            <w:tcW w:w="200" w:type="dxa"/>
            <w:vAlign w:val="bottom"/>
          </w:tcPr>
          <w:p>
            <w:pPr>
              <w:spacing w:after="0"/>
              <w:rPr>
                <w:sz w:val="24"/>
                <w:szCs w:val="24"/>
                <w:color w:val="auto"/>
              </w:rPr>
            </w:pPr>
          </w:p>
        </w:tc>
      </w:tr>
      <w:tr>
        <w:trPr>
          <w:trHeight w:val="203"/>
        </w:trPr>
        <w:tc>
          <w:tcPr>
            <w:tcW w:w="1060" w:type="dxa"/>
            <w:vAlign w:val="bottom"/>
          </w:tcPr>
          <w:p>
            <w:pPr>
              <w:spacing w:after="0"/>
              <w:rPr>
                <w:sz w:val="17"/>
                <w:szCs w:val="17"/>
                <w:color w:val="auto"/>
              </w:rPr>
            </w:pPr>
          </w:p>
        </w:tc>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Financial Condition and Results of Operations....................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3 -</w:t>
            </w:r>
          </w:p>
        </w:tc>
        <w:tc>
          <w:tcPr>
            <w:tcW w:w="6960" w:type="dxa"/>
            <w:vAlign w:val="bottom"/>
          </w:tcPr>
          <w:p>
            <w:pPr>
              <w:spacing w:after="0"/>
              <w:rPr>
                <w:sz w:val="20"/>
                <w:szCs w:val="20"/>
                <w:color w:val="auto"/>
              </w:rPr>
            </w:pPr>
            <w:r>
              <w:rPr>
                <w:rFonts w:ascii="Courier New" w:cs="Courier New" w:eastAsia="Courier New" w:hAnsi="Courier New"/>
                <w:sz w:val="18"/>
                <w:szCs w:val="18"/>
                <w:color w:val="auto"/>
                <w:w w:val="97"/>
              </w:rPr>
              <w:t>Quantitative and Qualitative Disclosures About Market Risk........</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12</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PART II -</w:t>
            </w:r>
          </w:p>
        </w:tc>
        <w:tc>
          <w:tcPr>
            <w:tcW w:w="6960" w:type="dxa"/>
            <w:vAlign w:val="bottom"/>
          </w:tcPr>
          <w:p>
            <w:pPr>
              <w:ind w:left="1680"/>
              <w:spacing w:after="0"/>
              <w:rPr>
                <w:sz w:val="20"/>
                <w:szCs w:val="20"/>
                <w:color w:val="auto"/>
              </w:rPr>
            </w:pPr>
            <w:r>
              <w:rPr>
                <w:rFonts w:ascii="Courier New" w:cs="Courier New" w:eastAsia="Courier New" w:hAnsi="Courier New"/>
                <w:sz w:val="18"/>
                <w:szCs w:val="18"/>
                <w:color w:val="auto"/>
              </w:rPr>
              <w:t>OTHER INFORMATION</w:t>
            </w:r>
          </w:p>
        </w:tc>
        <w:tc>
          <w:tcPr>
            <w:tcW w:w="200" w:type="dxa"/>
            <w:vAlign w:val="bottom"/>
          </w:tcPr>
          <w:p>
            <w:pPr>
              <w:spacing w:after="0"/>
              <w:rPr>
                <w:sz w:val="24"/>
                <w:szCs w:val="24"/>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1 -</w:t>
            </w:r>
          </w:p>
        </w:tc>
        <w:tc>
          <w:tcPr>
            <w:tcW w:w="6960" w:type="dxa"/>
            <w:vAlign w:val="bottom"/>
          </w:tcPr>
          <w:p>
            <w:pPr>
              <w:spacing w:after="0"/>
              <w:rPr>
                <w:sz w:val="20"/>
                <w:szCs w:val="20"/>
                <w:color w:val="auto"/>
              </w:rPr>
            </w:pPr>
            <w:r>
              <w:rPr>
                <w:rFonts w:ascii="Courier New" w:cs="Courier New" w:eastAsia="Courier New" w:hAnsi="Courier New"/>
                <w:sz w:val="18"/>
                <w:szCs w:val="18"/>
                <w:color w:val="auto"/>
                <w:w w:val="97"/>
              </w:rPr>
              <w:t>Legal Proceedings.................................................</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12</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2 -</w:t>
            </w:r>
          </w:p>
        </w:tc>
        <w:tc>
          <w:tcPr>
            <w:tcW w:w="6960" w:type="dxa"/>
            <w:vAlign w:val="bottom"/>
          </w:tcPr>
          <w:p>
            <w:pPr>
              <w:spacing w:after="0"/>
              <w:rPr>
                <w:sz w:val="20"/>
                <w:szCs w:val="20"/>
                <w:color w:val="auto"/>
              </w:rPr>
            </w:pPr>
            <w:r>
              <w:rPr>
                <w:rFonts w:ascii="Courier New" w:cs="Courier New" w:eastAsia="Courier New" w:hAnsi="Courier New"/>
                <w:sz w:val="18"/>
                <w:szCs w:val="18"/>
                <w:color w:val="auto"/>
                <w:w w:val="97"/>
              </w:rPr>
              <w:t>Changes in Securities.............................................</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12</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3 -</w:t>
            </w:r>
          </w:p>
        </w:tc>
        <w:tc>
          <w:tcPr>
            <w:tcW w:w="6960" w:type="dxa"/>
            <w:vAlign w:val="bottom"/>
          </w:tcPr>
          <w:p>
            <w:pPr>
              <w:spacing w:after="0"/>
              <w:rPr>
                <w:sz w:val="20"/>
                <w:szCs w:val="20"/>
                <w:color w:val="auto"/>
              </w:rPr>
            </w:pPr>
            <w:r>
              <w:rPr>
                <w:rFonts w:ascii="Courier New" w:cs="Courier New" w:eastAsia="Courier New" w:hAnsi="Courier New"/>
                <w:sz w:val="18"/>
                <w:szCs w:val="18"/>
                <w:color w:val="auto"/>
                <w:w w:val="97"/>
              </w:rPr>
              <w:t>Defaults upon Senior Securities...................................</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12</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4 -</w:t>
            </w:r>
          </w:p>
        </w:tc>
        <w:tc>
          <w:tcPr>
            <w:tcW w:w="6960" w:type="dxa"/>
            <w:vAlign w:val="bottom"/>
          </w:tcPr>
          <w:p>
            <w:pPr>
              <w:spacing w:after="0"/>
              <w:rPr>
                <w:sz w:val="20"/>
                <w:szCs w:val="20"/>
                <w:color w:val="auto"/>
              </w:rPr>
            </w:pPr>
            <w:r>
              <w:rPr>
                <w:rFonts w:ascii="Courier New" w:cs="Courier New" w:eastAsia="Courier New" w:hAnsi="Courier New"/>
                <w:sz w:val="18"/>
                <w:szCs w:val="18"/>
                <w:color w:val="auto"/>
                <w:w w:val="97"/>
              </w:rPr>
              <w:t>Submission of Matters to a Vote of Security Holders...............</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12</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5 -</w:t>
            </w:r>
          </w:p>
        </w:tc>
        <w:tc>
          <w:tcPr>
            <w:tcW w:w="6960" w:type="dxa"/>
            <w:vAlign w:val="bottom"/>
          </w:tcPr>
          <w:p>
            <w:pPr>
              <w:spacing w:after="0"/>
              <w:rPr>
                <w:sz w:val="20"/>
                <w:szCs w:val="20"/>
                <w:color w:val="auto"/>
              </w:rPr>
            </w:pPr>
            <w:r>
              <w:rPr>
                <w:rFonts w:ascii="Courier New" w:cs="Courier New" w:eastAsia="Courier New" w:hAnsi="Courier New"/>
                <w:sz w:val="18"/>
                <w:szCs w:val="18"/>
                <w:color w:val="auto"/>
                <w:w w:val="97"/>
              </w:rPr>
              <w:t>Other Information.................................................</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13</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6 -</w:t>
            </w:r>
          </w:p>
        </w:tc>
        <w:tc>
          <w:tcPr>
            <w:tcW w:w="6960" w:type="dxa"/>
            <w:vAlign w:val="bottom"/>
          </w:tcPr>
          <w:p>
            <w:pPr>
              <w:spacing w:after="0"/>
              <w:rPr>
                <w:sz w:val="20"/>
                <w:szCs w:val="20"/>
                <w:color w:val="auto"/>
              </w:rPr>
            </w:pPr>
            <w:r>
              <w:rPr>
                <w:rFonts w:ascii="Courier New" w:cs="Courier New" w:eastAsia="Courier New" w:hAnsi="Courier New"/>
                <w:sz w:val="18"/>
                <w:szCs w:val="18"/>
                <w:color w:val="auto"/>
                <w:w w:val="97"/>
              </w:rPr>
              <w:t>Exhibits and Reports on Form 8-K..................................</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13</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w w:val="96"/>
              </w:rPr>
              <w:t>Signatures</w:t>
            </w:r>
          </w:p>
        </w:tc>
        <w:tc>
          <w:tcPr>
            <w:tcW w:w="6960" w:type="dxa"/>
            <w:vAlign w:val="bottom"/>
          </w:tcPr>
          <w:p>
            <w:pPr>
              <w:spacing w:after="0"/>
              <w:rPr>
                <w:sz w:val="20"/>
                <w:szCs w:val="20"/>
                <w:color w:val="auto"/>
              </w:rPr>
            </w:pPr>
            <w:r>
              <w:rPr>
                <w:rFonts w:ascii="Courier New" w:cs="Courier New" w:eastAsia="Courier New" w:hAnsi="Courier New"/>
                <w:sz w:val="18"/>
                <w:szCs w:val="18"/>
                <w:color w:val="auto"/>
                <w:w w:val="97"/>
              </w:rPr>
              <w:t>..................................................................</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14</w:t>
            </w:r>
          </w:p>
        </w:tc>
      </w:tr>
      <w:tr>
        <w:trPr>
          <w:trHeight w:val="608"/>
        </w:trPr>
        <w:tc>
          <w:tcPr>
            <w:tcW w:w="1060" w:type="dxa"/>
            <w:vAlign w:val="bottom"/>
          </w:tcPr>
          <w:p>
            <w:pPr>
              <w:spacing w:after="0"/>
              <w:rPr>
                <w:sz w:val="24"/>
                <w:szCs w:val="24"/>
                <w:color w:val="auto"/>
              </w:rPr>
            </w:pPr>
          </w:p>
        </w:tc>
        <w:tc>
          <w:tcPr>
            <w:tcW w:w="6960" w:type="dxa"/>
            <w:vAlign w:val="bottom"/>
          </w:tcPr>
          <w:p>
            <w:pPr>
              <w:ind w:left="3160"/>
              <w:spacing w:after="0"/>
              <w:rPr>
                <w:sz w:val="20"/>
                <w:szCs w:val="20"/>
                <w:color w:val="auto"/>
              </w:rPr>
            </w:pPr>
            <w:r>
              <w:rPr>
                <w:rFonts w:ascii="Courier New" w:cs="Courier New" w:eastAsia="Courier New" w:hAnsi="Courier New"/>
                <w:sz w:val="18"/>
                <w:szCs w:val="18"/>
                <w:color w:val="auto"/>
              </w:rPr>
              <w:t>2</w:t>
            </w:r>
          </w:p>
        </w:tc>
        <w:tc>
          <w:tcPr>
            <w:tcW w:w="200" w:type="dxa"/>
            <w:vAlign w:val="bottom"/>
          </w:tcPr>
          <w:p>
            <w:pPr>
              <w:spacing w:after="0"/>
              <w:rPr>
                <w:sz w:val="24"/>
                <w:szCs w:val="24"/>
                <w:color w:val="auto"/>
              </w:rPr>
            </w:pPr>
          </w:p>
        </w:tc>
      </w:tr>
    </w:tbl>
    <w:p>
      <w:pPr>
        <w:sectPr>
          <w:pgSz w:w="11900" w:h="16838" w:orient="portrait"/>
          <w:cols w:equalWidth="0" w:num="1">
            <w:col w:w="10219"/>
          </w:cols>
          <w:pgMar w:left="240" w:top="312"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tcPr>
          <w:p>
            <w:pPr>
              <w:ind w:left="320"/>
              <w:spacing w:after="0"/>
              <w:rPr>
                <w:sz w:val="20"/>
                <w:szCs w:val="20"/>
                <w:color w:val="auto"/>
              </w:rPr>
            </w:pPr>
            <w:r>
              <w:rPr>
                <w:rFonts w:ascii="Courier New" w:cs="Courier New" w:eastAsia="Courier New" w:hAnsi="Courier New"/>
                <w:sz w:val="18"/>
                <w:szCs w:val="18"/>
                <w:color w:val="auto"/>
              </w:rPr>
              <w:t>3</w:t>
            </w:r>
          </w:p>
        </w:tc>
        <w:tc>
          <w:tcPr>
            <w:tcW w:w="26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013"/>
        </w:trPr>
        <w:tc>
          <w:tcPr>
            <w:tcW w:w="2220" w:type="dxa"/>
            <w:vAlign w:val="bottom"/>
          </w:tcPr>
          <w:p>
            <w:pPr>
              <w:spacing w:after="0"/>
              <w:rPr>
                <w:sz w:val="20"/>
                <w:szCs w:val="20"/>
                <w:color w:val="auto"/>
              </w:rPr>
            </w:pPr>
            <w:r>
              <w:rPr>
                <w:rFonts w:ascii="Courier New" w:cs="Courier New" w:eastAsia="Courier New" w:hAnsi="Courier New"/>
                <w:sz w:val="18"/>
                <w:szCs w:val="18"/>
                <w:color w:val="auto"/>
              </w:rPr>
              <w:t>PART 1</w:t>
            </w:r>
          </w:p>
        </w:tc>
        <w:tc>
          <w:tcPr>
            <w:tcW w:w="2680" w:type="dxa"/>
            <w:vAlign w:val="bottom"/>
          </w:tcPr>
          <w:p>
            <w:pPr>
              <w:ind w:left="320"/>
              <w:spacing w:after="0"/>
              <w:rPr>
                <w:sz w:val="20"/>
                <w:szCs w:val="20"/>
                <w:color w:val="auto"/>
              </w:rPr>
            </w:pPr>
            <w:r>
              <w:rPr>
                <w:rFonts w:ascii="Courier New" w:cs="Courier New" w:eastAsia="Courier New" w:hAnsi="Courier New"/>
                <w:sz w:val="18"/>
                <w:szCs w:val="18"/>
                <w:color w:val="auto"/>
              </w:rPr>
              <w:t>FINANCIAL INFORMATION</w:t>
            </w:r>
          </w:p>
        </w:tc>
        <w:tc>
          <w:tcPr>
            <w:tcW w:w="20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2680" w:type="dxa"/>
            <w:vAlign w:val="bottom"/>
          </w:tcPr>
          <w:p>
            <w:pPr>
              <w:ind w:left="320"/>
              <w:spacing w:after="0"/>
              <w:rPr>
                <w:sz w:val="20"/>
                <w:szCs w:val="20"/>
                <w:color w:val="auto"/>
              </w:rPr>
            </w:pPr>
            <w:r>
              <w:rPr>
                <w:rFonts w:ascii="Courier New" w:cs="Courier New" w:eastAsia="Courier New" w:hAnsi="Courier New"/>
                <w:sz w:val="18"/>
                <w:szCs w:val="18"/>
                <w:color w:val="auto"/>
              </w:rPr>
              <w:t>FINANCIAL STATEMENTS</w:t>
            </w:r>
          </w:p>
        </w:tc>
        <w:tc>
          <w:tcPr>
            <w:tcW w:w="20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5"/>
        </w:trPr>
        <w:tc>
          <w:tcPr>
            <w:tcW w:w="2220" w:type="dxa"/>
            <w:vAlign w:val="bottom"/>
          </w:tcPr>
          <w:p>
            <w:pPr>
              <w:spacing w:after="0"/>
              <w:rPr>
                <w:sz w:val="24"/>
                <w:szCs w:val="24"/>
                <w:color w:val="auto"/>
              </w:rPr>
            </w:pPr>
          </w:p>
        </w:tc>
        <w:tc>
          <w:tcPr>
            <w:tcW w:w="4680" w:type="dxa"/>
            <w:vAlign w:val="bottom"/>
            <w:gridSpan w:val="2"/>
          </w:tcPr>
          <w:p>
            <w:pPr>
              <w:jc w:val="right"/>
              <w:ind w:right="1652"/>
              <w:spacing w:after="0"/>
              <w:rPr>
                <w:sz w:val="20"/>
                <w:szCs w:val="20"/>
                <w:color w:val="auto"/>
              </w:rPr>
            </w:pPr>
            <w:r>
              <w:rPr>
                <w:rFonts w:ascii="Courier New" w:cs="Courier New" w:eastAsia="Courier New" w:hAnsi="Courier New"/>
                <w:sz w:val="18"/>
                <w:szCs w:val="18"/>
                <w:color w:val="auto"/>
              </w:rPr>
              <w:t>CoStar Group, Inc.</w:t>
            </w:r>
          </w:p>
        </w:tc>
        <w:tc>
          <w:tcPr>
            <w:tcW w:w="1000" w:type="dxa"/>
            <w:vAlign w:val="bottom"/>
          </w:tcPr>
          <w:p>
            <w:pPr>
              <w:spacing w:after="0"/>
              <w:rPr>
                <w:sz w:val="24"/>
                <w:szCs w:val="24"/>
                <w:color w:val="auto"/>
              </w:rPr>
            </w:pPr>
          </w:p>
        </w:tc>
      </w:tr>
      <w:tr>
        <w:trPr>
          <w:trHeight w:val="203"/>
        </w:trPr>
        <w:tc>
          <w:tcPr>
            <w:tcW w:w="6900" w:type="dxa"/>
            <w:vAlign w:val="bottom"/>
            <w:gridSpan w:val="3"/>
          </w:tcPr>
          <w:p>
            <w:pPr>
              <w:jc w:val="center"/>
              <w:ind w:left="1552"/>
              <w:spacing w:after="0" w:line="203" w:lineRule="exact"/>
              <w:rPr>
                <w:sz w:val="20"/>
                <w:szCs w:val="20"/>
                <w:color w:val="auto"/>
              </w:rPr>
            </w:pPr>
            <w:r>
              <w:rPr>
                <w:rFonts w:ascii="Courier New" w:cs="Courier New" w:eastAsia="Courier New" w:hAnsi="Courier New"/>
                <w:sz w:val="18"/>
                <w:szCs w:val="18"/>
                <w:color w:val="auto"/>
                <w:w w:val="97"/>
              </w:rPr>
              <w:t>Condensed Consolidated Statements of Operations</w:t>
            </w:r>
          </w:p>
        </w:tc>
        <w:tc>
          <w:tcPr>
            <w:tcW w:w="100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4680" w:type="dxa"/>
            <w:vAlign w:val="bottom"/>
            <w:gridSpan w:val="2"/>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(in thousands, except per share data)</w:t>
            </w:r>
          </w:p>
        </w:tc>
        <w:tc>
          <w:tcPr>
            <w:tcW w:w="100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2680" w:type="dxa"/>
            <w:vAlign w:val="bottom"/>
          </w:tcPr>
          <w:p>
            <w:pPr>
              <w:jc w:val="center"/>
              <w:ind w:left="1352"/>
              <w:spacing w:after="0" w:line="203" w:lineRule="exact"/>
              <w:rPr>
                <w:sz w:val="20"/>
                <w:szCs w:val="20"/>
                <w:color w:val="auto"/>
              </w:rPr>
            </w:pPr>
            <w:r>
              <w:rPr>
                <w:rFonts w:ascii="Courier New" w:cs="Courier New" w:eastAsia="Courier New" w:hAnsi="Courier New"/>
                <w:sz w:val="18"/>
                <w:szCs w:val="18"/>
                <w:color w:val="auto"/>
                <w:w w:val="97"/>
              </w:rPr>
              <w:t>(unaudited)</w:t>
            </w:r>
          </w:p>
        </w:tc>
        <w:tc>
          <w:tcPr>
            <w:tcW w:w="20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810"/>
        </w:trPr>
        <w:tc>
          <w:tcPr>
            <w:tcW w:w="22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00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For the Three Months</w:t>
            </w:r>
          </w:p>
        </w:tc>
      </w:tr>
      <w:tr>
        <w:trPr>
          <w:trHeight w:val="203"/>
        </w:trPr>
        <w:tc>
          <w:tcPr>
            <w:tcW w:w="22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00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Ended March 31,</w:t>
            </w:r>
          </w:p>
        </w:tc>
      </w:tr>
      <w:tr>
        <w:trPr>
          <w:trHeight w:val="203"/>
        </w:trPr>
        <w:tc>
          <w:tcPr>
            <w:tcW w:w="22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2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2000</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22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2680" w:type="dxa"/>
            <w:vAlign w:val="bottom"/>
          </w:tcPr>
          <w:p>
            <w:pPr>
              <w:spacing w:after="0"/>
              <w:rPr>
                <w:sz w:val="24"/>
                <w:szCs w:val="24"/>
                <w:color w:val="auto"/>
              </w:rPr>
            </w:pPr>
          </w:p>
        </w:tc>
        <w:tc>
          <w:tcPr>
            <w:tcW w:w="2000" w:type="dxa"/>
            <w:vAlign w:val="bottom"/>
          </w:tcPr>
          <w:p>
            <w:pPr>
              <w:jc w:val="right"/>
              <w:ind w:right="792"/>
              <w:spacing w:after="0"/>
              <w:rPr>
                <w:sz w:val="20"/>
                <w:szCs w:val="20"/>
                <w:color w:val="auto"/>
              </w:rPr>
            </w:pPr>
            <w:r>
              <w:rPr>
                <w:rFonts w:ascii="Courier New" w:cs="Courier New" w:eastAsia="Courier New" w:hAnsi="Courier New"/>
                <w:sz w:val="18"/>
                <w:szCs w:val="18"/>
                <w:color w:val="auto"/>
              </w:rPr>
              <w:t>$ 11,372</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$ 6,127</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revenues</w:t>
            </w:r>
          </w:p>
        </w:tc>
        <w:tc>
          <w:tcPr>
            <w:tcW w:w="2680" w:type="dxa"/>
            <w:vAlign w:val="bottom"/>
          </w:tcPr>
          <w:p>
            <w:pPr>
              <w:spacing w:after="0"/>
              <w:rPr>
                <w:sz w:val="17"/>
                <w:szCs w:val="17"/>
                <w:color w:val="auto"/>
              </w:rPr>
            </w:pPr>
          </w:p>
        </w:tc>
        <w:tc>
          <w:tcPr>
            <w:tcW w:w="200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5,977</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2,594</w:t>
            </w:r>
          </w:p>
        </w:tc>
      </w:tr>
      <w:tr>
        <w:trPr>
          <w:trHeight w:val="203"/>
        </w:trPr>
        <w:tc>
          <w:tcPr>
            <w:tcW w:w="22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2680" w:type="dxa"/>
            <w:vAlign w:val="bottom"/>
          </w:tcPr>
          <w:p>
            <w:pPr>
              <w:spacing w:after="0"/>
              <w:rPr>
                <w:sz w:val="17"/>
                <w:szCs w:val="17"/>
                <w:color w:val="auto"/>
              </w:rPr>
            </w:pPr>
          </w:p>
        </w:tc>
        <w:tc>
          <w:tcPr>
            <w:tcW w:w="200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5,395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3,533</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26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9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Selling and marketing</w:t>
            </w:r>
          </w:p>
        </w:tc>
        <w:tc>
          <w:tcPr>
            <w:tcW w:w="200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8,402</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3,083</w:t>
            </w:r>
          </w:p>
        </w:tc>
      </w:tr>
      <w:tr>
        <w:trPr>
          <w:trHeight w:val="203"/>
        </w:trPr>
        <w:tc>
          <w:tcPr>
            <w:tcW w:w="49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Software development</w:t>
            </w:r>
          </w:p>
        </w:tc>
        <w:tc>
          <w:tcPr>
            <w:tcW w:w="200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718</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240</w:t>
            </w:r>
          </w:p>
        </w:tc>
      </w:tr>
      <w:tr>
        <w:trPr>
          <w:trHeight w:val="203"/>
        </w:trPr>
        <w:tc>
          <w:tcPr>
            <w:tcW w:w="49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200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5,421</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1,936</w:t>
            </w:r>
          </w:p>
        </w:tc>
      </w:tr>
      <w:tr>
        <w:trPr>
          <w:trHeight w:val="203"/>
        </w:trPr>
        <w:tc>
          <w:tcPr>
            <w:tcW w:w="49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Purchase amortization</w:t>
            </w:r>
          </w:p>
        </w:tc>
        <w:tc>
          <w:tcPr>
            <w:tcW w:w="200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1,737</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w:t>
            </w:r>
          </w:p>
        </w:tc>
      </w:tr>
      <w:tr>
        <w:trPr>
          <w:trHeight w:val="203"/>
        </w:trPr>
        <w:tc>
          <w:tcPr>
            <w:tcW w:w="49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Acquired in-process development</w:t>
            </w:r>
          </w:p>
        </w:tc>
        <w:tc>
          <w:tcPr>
            <w:tcW w:w="200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5,812</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2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00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22,090</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5,759</w:t>
            </w:r>
          </w:p>
        </w:tc>
      </w:tr>
      <w:tr>
        <w:trPr>
          <w:trHeight w:val="203"/>
        </w:trPr>
        <w:tc>
          <w:tcPr>
            <w:tcW w:w="22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from operations</w:t>
            </w:r>
          </w:p>
        </w:tc>
        <w:tc>
          <w:tcPr>
            <w:tcW w:w="2680" w:type="dxa"/>
            <w:vAlign w:val="bottom"/>
          </w:tcPr>
          <w:p>
            <w:pPr>
              <w:spacing w:after="0"/>
              <w:rPr>
                <w:sz w:val="17"/>
                <w:szCs w:val="17"/>
                <w:color w:val="auto"/>
              </w:rPr>
            </w:pPr>
          </w:p>
        </w:tc>
        <w:tc>
          <w:tcPr>
            <w:tcW w:w="20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(16,695)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(2,226)</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net</w:t>
            </w:r>
          </w:p>
        </w:tc>
        <w:tc>
          <w:tcPr>
            <w:tcW w:w="2680" w:type="dxa"/>
            <w:vAlign w:val="bottom"/>
          </w:tcPr>
          <w:p>
            <w:pPr>
              <w:spacing w:after="0"/>
              <w:rPr>
                <w:sz w:val="17"/>
                <w:szCs w:val="17"/>
                <w:color w:val="auto"/>
              </w:rPr>
            </w:pPr>
          </w:p>
        </w:tc>
        <w:tc>
          <w:tcPr>
            <w:tcW w:w="200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1,026</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w:t>
            </w:r>
          </w:p>
        </w:tc>
      </w:tr>
      <w:tr>
        <w:trPr>
          <w:trHeight w:val="203"/>
        </w:trPr>
        <w:tc>
          <w:tcPr>
            <w:tcW w:w="22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loss before income taxes</w:t>
            </w:r>
          </w:p>
        </w:tc>
        <w:tc>
          <w:tcPr>
            <w:tcW w:w="20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(15,669)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(2,164)</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benefit</w:t>
            </w:r>
          </w:p>
        </w:tc>
        <w:tc>
          <w:tcPr>
            <w:tcW w:w="2680" w:type="dxa"/>
            <w:vAlign w:val="bottom"/>
          </w:tcPr>
          <w:p>
            <w:pPr>
              <w:spacing w:after="0"/>
              <w:rPr>
                <w:sz w:val="17"/>
                <w:szCs w:val="17"/>
                <w:color w:val="auto"/>
              </w:rPr>
            </w:pPr>
          </w:p>
        </w:tc>
        <w:tc>
          <w:tcPr>
            <w:tcW w:w="200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565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w:t>
            </w:r>
          </w:p>
        </w:tc>
        <w:tc>
          <w:tcPr>
            <w:tcW w:w="2680" w:type="dxa"/>
            <w:vAlign w:val="bottom"/>
          </w:tcPr>
          <w:p>
            <w:pPr>
              <w:spacing w:after="0"/>
              <w:rPr>
                <w:sz w:val="17"/>
                <w:szCs w:val="17"/>
                <w:color w:val="auto"/>
              </w:rPr>
            </w:pPr>
          </w:p>
        </w:tc>
        <w:tc>
          <w:tcPr>
            <w:tcW w:w="20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$(15,104)</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$(2,164)</w:t>
            </w:r>
          </w:p>
        </w:tc>
      </w:tr>
      <w:tr>
        <w:trPr>
          <w:trHeight w:val="203"/>
        </w:trPr>
        <w:tc>
          <w:tcPr>
            <w:tcW w:w="22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Basic and diluted net loss per share</w:t>
            </w:r>
          </w:p>
        </w:tc>
        <w:tc>
          <w:tcPr>
            <w:tcW w:w="20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  (1.06)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(0.22)</w:t>
            </w:r>
          </w:p>
        </w:tc>
      </w:tr>
      <w:tr>
        <w:trPr>
          <w:trHeight w:val="203"/>
        </w:trPr>
        <w:tc>
          <w:tcPr>
            <w:tcW w:w="22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Weighted average common shares</w:t>
            </w:r>
          </w:p>
        </w:tc>
        <w:tc>
          <w:tcPr>
            <w:tcW w:w="200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14,254</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9,624</w:t>
            </w:r>
          </w:p>
        </w:tc>
      </w:tr>
      <w:tr>
        <w:trPr>
          <w:trHeight w:val="203"/>
        </w:trPr>
        <w:tc>
          <w:tcPr>
            <w:tcW w:w="22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CoStar Group,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Condensed Consolidated Balance Sheet</w:t>
      </w:r>
    </w:p>
    <w:p>
      <w:pPr>
        <w:jc w:val="center"/>
        <w:ind w:right="1779"/>
        <w:spacing w:after="0"/>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00" w:type="dxa"/>
            <w:vAlign w:val="bottom"/>
          </w:tcPr>
          <w:p>
            <w:pPr>
              <w:spacing w:after="0"/>
              <w:rPr>
                <w:sz w:val="17"/>
                <w:szCs w:val="17"/>
                <w:color w:val="auto"/>
              </w:rPr>
            </w:pPr>
          </w:p>
        </w:tc>
        <w:tc>
          <w:tcPr>
            <w:tcW w:w="1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March 31,</w:t>
            </w:r>
          </w:p>
        </w:tc>
        <w:tc>
          <w:tcPr>
            <w:tcW w:w="14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5900" w:type="dxa"/>
            <w:vAlign w:val="bottom"/>
          </w:tcPr>
          <w:p>
            <w:pPr>
              <w:spacing w:after="0"/>
              <w:rPr>
                <w:sz w:val="17"/>
                <w:szCs w:val="17"/>
                <w:color w:val="auto"/>
              </w:rPr>
            </w:pP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2000</w:t>
            </w:r>
          </w:p>
        </w:tc>
        <w:tc>
          <w:tcPr>
            <w:tcW w:w="52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5900" w:type="dxa"/>
            <w:vAlign w:val="bottom"/>
          </w:tcPr>
          <w:p>
            <w:pPr>
              <w:spacing w:after="0"/>
              <w:rPr>
                <w:sz w:val="17"/>
                <w:szCs w:val="17"/>
                <w:color w:val="auto"/>
              </w:rPr>
            </w:pPr>
          </w:p>
        </w:tc>
        <w:tc>
          <w:tcPr>
            <w:tcW w:w="33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(unaudited)</w:t>
            </w: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$ 76,851</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94,074</w:t>
            </w:r>
          </w:p>
        </w:tc>
      </w:tr>
      <w:tr>
        <w:trPr>
          <w:trHeight w:val="203"/>
        </w:trPr>
        <w:tc>
          <w:tcPr>
            <w:tcW w:w="5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receivable, less allowance for doubtful</w:t>
            </w:r>
          </w:p>
        </w:tc>
        <w:tc>
          <w:tcPr>
            <w:tcW w:w="1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accounts of $993 and $756 as of</w:t>
            </w:r>
          </w:p>
        </w:tc>
        <w:tc>
          <w:tcPr>
            <w:tcW w:w="1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March 31, 2000 and December 31, 1999</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8,887</w:t>
            </w:r>
          </w:p>
        </w:tc>
        <w:tc>
          <w:tcPr>
            <w:tcW w:w="5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2,841</w:t>
            </w:r>
          </w:p>
        </w:tc>
      </w:tr>
      <w:tr>
        <w:trPr>
          <w:trHeight w:val="203"/>
        </w:trPr>
        <w:tc>
          <w:tcPr>
            <w:tcW w:w="5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Prepaid expenses and other current assets</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4,957</w:t>
            </w:r>
          </w:p>
        </w:tc>
        <w:tc>
          <w:tcPr>
            <w:tcW w:w="5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2,458</w:t>
            </w:r>
          </w:p>
        </w:tc>
      </w:tr>
      <w:tr>
        <w:trPr>
          <w:trHeight w:val="203"/>
        </w:trPr>
        <w:tc>
          <w:tcPr>
            <w:tcW w:w="5900" w:type="dxa"/>
            <w:vAlign w:val="bottom"/>
          </w:tcPr>
          <w:p>
            <w:pPr>
              <w:spacing w:after="0"/>
              <w:rPr>
                <w:sz w:val="17"/>
                <w:szCs w:val="17"/>
                <w:color w:val="auto"/>
              </w:rPr>
            </w:pPr>
          </w:p>
        </w:tc>
        <w:tc>
          <w:tcPr>
            <w:tcW w:w="33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90,695</w:t>
            </w:r>
          </w:p>
        </w:tc>
        <w:tc>
          <w:tcPr>
            <w:tcW w:w="5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99,373</w:t>
            </w: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rPr>
              <w:t>Property and equipment</w:t>
            </w:r>
          </w:p>
        </w:tc>
        <w:tc>
          <w:tcPr>
            <w:tcW w:w="19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14,294</w:t>
            </w:r>
          </w:p>
        </w:tc>
        <w:tc>
          <w:tcPr>
            <w:tcW w:w="52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8,259</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depreciation</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(2,821)</w:t>
            </w:r>
          </w:p>
        </w:tc>
        <w:tc>
          <w:tcPr>
            <w:tcW w:w="52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(2,377)</w:t>
            </w:r>
          </w:p>
        </w:tc>
      </w:tr>
      <w:tr>
        <w:trPr>
          <w:trHeight w:val="203"/>
        </w:trPr>
        <w:tc>
          <w:tcPr>
            <w:tcW w:w="5900" w:type="dxa"/>
            <w:vAlign w:val="bottom"/>
          </w:tcPr>
          <w:p>
            <w:pPr>
              <w:spacing w:after="0"/>
              <w:rPr>
                <w:sz w:val="17"/>
                <w:szCs w:val="17"/>
                <w:color w:val="auto"/>
              </w:rPr>
            </w:pPr>
          </w:p>
        </w:tc>
        <w:tc>
          <w:tcPr>
            <w:tcW w:w="33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rPr>
                <w:sz w:val="17"/>
                <w:szCs w:val="17"/>
                <w:color w:val="auto"/>
              </w:rPr>
            </w:pP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11,473</w:t>
            </w:r>
          </w:p>
        </w:tc>
        <w:tc>
          <w:tcPr>
            <w:tcW w:w="5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5,882</w:t>
            </w: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rPr>
              <w:t>Intangible and other assets</w:t>
            </w:r>
          </w:p>
        </w:tc>
        <w:tc>
          <w:tcPr>
            <w:tcW w:w="19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101,397</w:t>
            </w:r>
          </w:p>
        </w:tc>
        <w:tc>
          <w:tcPr>
            <w:tcW w:w="52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31,222</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Deposits</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787</w:t>
            </w:r>
          </w:p>
        </w:tc>
        <w:tc>
          <w:tcPr>
            <w:tcW w:w="5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428</w:t>
            </w:r>
          </w:p>
        </w:tc>
      </w:tr>
      <w:tr>
        <w:trPr>
          <w:trHeight w:val="203"/>
        </w:trPr>
        <w:tc>
          <w:tcPr>
            <w:tcW w:w="5900" w:type="dxa"/>
            <w:vAlign w:val="bottom"/>
          </w:tcPr>
          <w:p>
            <w:pPr>
              <w:spacing w:after="0"/>
              <w:rPr>
                <w:sz w:val="17"/>
                <w:szCs w:val="17"/>
                <w:color w:val="auto"/>
              </w:rPr>
            </w:pPr>
          </w:p>
        </w:tc>
        <w:tc>
          <w:tcPr>
            <w:tcW w:w="33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$204,352</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136,905</w:t>
            </w:r>
          </w:p>
        </w:tc>
      </w:tr>
      <w:tr>
        <w:trPr>
          <w:trHeight w:val="203"/>
        </w:trPr>
        <w:tc>
          <w:tcPr>
            <w:tcW w:w="5900" w:type="dxa"/>
            <w:vAlign w:val="bottom"/>
          </w:tcPr>
          <w:p>
            <w:pPr>
              <w:spacing w:after="0"/>
              <w:rPr>
                <w:sz w:val="17"/>
                <w:szCs w:val="17"/>
                <w:color w:val="auto"/>
              </w:rPr>
            </w:pPr>
          </w:p>
        </w:tc>
        <w:tc>
          <w:tcPr>
            <w:tcW w:w="33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1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payable and accrued expenses</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$ 15,234</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7,585</w:t>
            </w:r>
          </w:p>
        </w:tc>
      </w:tr>
      <w:tr>
        <w:trPr>
          <w:trHeight w:val="203"/>
        </w:trPr>
        <w:tc>
          <w:tcPr>
            <w:tcW w:w="5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Deferred revenue</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8,927</w:t>
            </w:r>
          </w:p>
        </w:tc>
        <w:tc>
          <w:tcPr>
            <w:tcW w:w="5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2,635</w:t>
            </w:r>
          </w:p>
        </w:tc>
      </w:tr>
      <w:tr>
        <w:trPr>
          <w:trHeight w:val="203"/>
        </w:trPr>
        <w:tc>
          <w:tcPr>
            <w:tcW w:w="5900" w:type="dxa"/>
            <w:vAlign w:val="bottom"/>
          </w:tcPr>
          <w:p>
            <w:pPr>
              <w:spacing w:after="0"/>
              <w:rPr>
                <w:sz w:val="17"/>
                <w:szCs w:val="17"/>
                <w:color w:val="auto"/>
              </w:rPr>
            </w:pPr>
          </w:p>
        </w:tc>
        <w:tc>
          <w:tcPr>
            <w:tcW w:w="33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24,161</w:t>
            </w:r>
          </w:p>
        </w:tc>
        <w:tc>
          <w:tcPr>
            <w:tcW w:w="5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10,220</w:t>
            </w: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rPr>
              <w:t>Long term liabilities</w:t>
            </w:r>
          </w:p>
        </w:tc>
        <w:tc>
          <w:tcPr>
            <w:tcW w:w="19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1,891</w:t>
            </w:r>
          </w:p>
        </w:tc>
        <w:tc>
          <w:tcPr>
            <w:tcW w:w="52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rPr>
              <w:t>Deferred taxes</w:t>
            </w:r>
          </w:p>
        </w:tc>
        <w:tc>
          <w:tcPr>
            <w:tcW w:w="19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18,984</w:t>
            </w:r>
          </w:p>
        </w:tc>
        <w:tc>
          <w:tcPr>
            <w:tcW w:w="52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6,988</w:t>
            </w: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9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159,316</w:t>
            </w:r>
          </w:p>
        </w:tc>
        <w:tc>
          <w:tcPr>
            <w:tcW w:w="52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119,697</w:t>
            </w:r>
          </w:p>
        </w:tc>
      </w:tr>
      <w:tr>
        <w:trPr>
          <w:trHeight w:val="203"/>
        </w:trPr>
        <w:tc>
          <w:tcPr>
            <w:tcW w:w="5900" w:type="dxa"/>
            <w:vAlign w:val="bottom"/>
          </w:tcPr>
          <w:p>
            <w:pPr>
              <w:spacing w:after="0"/>
              <w:rPr>
                <w:sz w:val="17"/>
                <w:szCs w:val="17"/>
                <w:color w:val="auto"/>
              </w:rPr>
            </w:pPr>
          </w:p>
        </w:tc>
        <w:tc>
          <w:tcPr>
            <w:tcW w:w="33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liabilities and stockholders' equity</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$204,352</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136,905</w:t>
            </w:r>
          </w:p>
        </w:tc>
      </w:tr>
      <w:tr>
        <w:trPr>
          <w:trHeight w:val="203"/>
        </w:trPr>
        <w:tc>
          <w:tcPr>
            <w:tcW w:w="5900" w:type="dxa"/>
            <w:vAlign w:val="bottom"/>
          </w:tcPr>
          <w:p>
            <w:pPr>
              <w:spacing w:after="0"/>
              <w:rPr>
                <w:sz w:val="17"/>
                <w:szCs w:val="17"/>
                <w:color w:val="auto"/>
              </w:rPr>
            </w:pPr>
          </w:p>
        </w:tc>
        <w:tc>
          <w:tcPr>
            <w:tcW w:w="33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696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c>
          <w:tcPr>
            <w:tcW w:w="1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215"/>
        </w:trPr>
        <w:tc>
          <w:tcPr>
            <w:tcW w:w="6960" w:type="dxa"/>
            <w:vAlign w:val="bottom"/>
          </w:tcPr>
          <w:p>
            <w:pPr>
              <w:ind w:left="3280"/>
              <w:spacing w:after="0"/>
              <w:rPr>
                <w:sz w:val="20"/>
                <w:szCs w:val="20"/>
                <w:color w:val="auto"/>
              </w:rPr>
            </w:pPr>
            <w:r>
              <w:rPr>
                <w:rFonts w:ascii="Courier New" w:cs="Courier New" w:eastAsia="Courier New" w:hAnsi="Courier New"/>
                <w:sz w:val="18"/>
                <w:szCs w:val="18"/>
                <w:color w:val="auto"/>
              </w:rPr>
              <w:t>CoStar Group, Inc.</w:t>
            </w:r>
          </w:p>
        </w:tc>
        <w:tc>
          <w:tcPr>
            <w:tcW w:w="1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696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Condensed Consolidated Statements of Cash Flows</w:t>
            </w:r>
          </w:p>
        </w:tc>
        <w:tc>
          <w:tcPr>
            <w:tcW w:w="1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6960" w:type="dxa"/>
            <w:vAlign w:val="bottom"/>
          </w:tcPr>
          <w:p>
            <w:pPr>
              <w:ind w:left="3480"/>
              <w:spacing w:after="0" w:line="203" w:lineRule="exact"/>
              <w:rPr>
                <w:sz w:val="20"/>
                <w:szCs w:val="20"/>
                <w:color w:val="auto"/>
              </w:rPr>
            </w:pPr>
            <w:r>
              <w:rPr>
                <w:rFonts w:ascii="Courier New" w:cs="Courier New" w:eastAsia="Courier New" w:hAnsi="Courier New"/>
                <w:sz w:val="18"/>
                <w:szCs w:val="18"/>
                <w:color w:val="auto"/>
              </w:rPr>
              <w:t>(in thousands)</w:t>
            </w:r>
          </w:p>
        </w:tc>
        <w:tc>
          <w:tcPr>
            <w:tcW w:w="1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6960" w:type="dxa"/>
            <w:vAlign w:val="bottom"/>
          </w:tcPr>
          <w:p>
            <w:pPr>
              <w:ind w:left="3700"/>
              <w:spacing w:after="0" w:line="203" w:lineRule="exact"/>
              <w:rPr>
                <w:sz w:val="20"/>
                <w:szCs w:val="20"/>
                <w:color w:val="auto"/>
              </w:rPr>
            </w:pPr>
            <w:r>
              <w:rPr>
                <w:rFonts w:ascii="Courier New" w:cs="Courier New" w:eastAsia="Courier New" w:hAnsi="Courier New"/>
                <w:sz w:val="18"/>
                <w:szCs w:val="18"/>
                <w:color w:val="auto"/>
              </w:rPr>
              <w:t>(unaudited)</w:t>
            </w:r>
          </w:p>
        </w:tc>
        <w:tc>
          <w:tcPr>
            <w:tcW w:w="1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810"/>
        </w:trPr>
        <w:tc>
          <w:tcPr>
            <w:tcW w:w="6960" w:type="dxa"/>
            <w:vAlign w:val="bottom"/>
          </w:tcPr>
          <w:p>
            <w:pPr>
              <w:spacing w:after="0"/>
              <w:rPr>
                <w:sz w:val="24"/>
                <w:szCs w:val="24"/>
                <w:color w:val="auto"/>
              </w:rPr>
            </w:pPr>
          </w:p>
        </w:tc>
        <w:tc>
          <w:tcPr>
            <w:tcW w:w="306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rPr>
              <w:t>For the Three Months</w:t>
            </w:r>
          </w:p>
        </w:tc>
      </w:tr>
      <w:tr>
        <w:trPr>
          <w:trHeight w:val="203"/>
        </w:trPr>
        <w:tc>
          <w:tcPr>
            <w:tcW w:w="6960" w:type="dxa"/>
            <w:vAlign w:val="bottom"/>
          </w:tcPr>
          <w:p>
            <w:pPr>
              <w:spacing w:after="0"/>
              <w:rPr>
                <w:sz w:val="17"/>
                <w:szCs w:val="17"/>
                <w:color w:val="auto"/>
              </w:rPr>
            </w:pPr>
          </w:p>
        </w:tc>
        <w:tc>
          <w:tcPr>
            <w:tcW w:w="3060" w:type="dxa"/>
            <w:vAlign w:val="bottom"/>
            <w:gridSpan w:val="3"/>
          </w:tcPr>
          <w:p>
            <w:pPr>
              <w:jc w:val="right"/>
              <w:ind w:right="452"/>
              <w:spacing w:after="0" w:line="203" w:lineRule="exact"/>
              <w:rPr>
                <w:sz w:val="20"/>
                <w:szCs w:val="20"/>
                <w:color w:val="auto"/>
              </w:rPr>
            </w:pPr>
            <w:r>
              <w:rPr>
                <w:rFonts w:ascii="Courier New" w:cs="Courier New" w:eastAsia="Courier New" w:hAnsi="Courier New"/>
                <w:sz w:val="18"/>
                <w:szCs w:val="18"/>
                <w:color w:val="auto"/>
              </w:rPr>
              <w:t>Ended March 31,</w:t>
            </w:r>
          </w:p>
        </w:tc>
      </w:tr>
      <w:tr>
        <w:trPr>
          <w:trHeight w:val="203"/>
        </w:trPr>
        <w:tc>
          <w:tcPr>
            <w:tcW w:w="6960" w:type="dxa"/>
            <w:vAlign w:val="bottom"/>
          </w:tcPr>
          <w:p>
            <w:pPr>
              <w:spacing w:after="0"/>
              <w:rPr>
                <w:sz w:val="17"/>
                <w:szCs w:val="17"/>
                <w:color w:val="auto"/>
              </w:rPr>
            </w:pPr>
          </w:p>
        </w:tc>
        <w:tc>
          <w:tcPr>
            <w:tcW w:w="3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60" w:type="dxa"/>
            <w:vAlign w:val="bottom"/>
          </w:tcPr>
          <w:p>
            <w:pPr>
              <w:spacing w:after="0"/>
              <w:rPr>
                <w:sz w:val="17"/>
                <w:szCs w:val="17"/>
                <w:color w:val="auto"/>
              </w:rPr>
            </w:pP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2000</w:t>
            </w:r>
          </w:p>
        </w:tc>
        <w:tc>
          <w:tcPr>
            <w:tcW w:w="740" w:type="dxa"/>
            <w:vAlign w:val="bottom"/>
          </w:tcPr>
          <w:p>
            <w:pPr>
              <w:spacing w:after="0"/>
              <w:rPr>
                <w:sz w:val="17"/>
                <w:szCs w:val="17"/>
                <w:color w:val="auto"/>
              </w:rPr>
            </w:pP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1999</w:t>
            </w:r>
          </w:p>
        </w:tc>
      </w:tr>
      <w:tr>
        <w:trPr>
          <w:trHeight w:val="203"/>
        </w:trPr>
        <w:tc>
          <w:tcPr>
            <w:tcW w:w="6960" w:type="dxa"/>
            <w:vAlign w:val="bottom"/>
          </w:tcPr>
          <w:p>
            <w:pPr>
              <w:spacing w:after="0"/>
              <w:rPr>
                <w:sz w:val="17"/>
                <w:szCs w:val="17"/>
                <w:color w:val="auto"/>
              </w:rPr>
            </w:pPr>
          </w:p>
        </w:tc>
        <w:tc>
          <w:tcPr>
            <w:tcW w:w="3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960" w:type="dxa"/>
            <w:vAlign w:val="bottom"/>
          </w:tcPr>
          <w:p>
            <w:pPr>
              <w:spacing w:after="0"/>
              <w:rPr>
                <w:sz w:val="20"/>
                <w:szCs w:val="20"/>
                <w:color w:val="auto"/>
              </w:rPr>
            </w:pPr>
            <w:r>
              <w:rPr>
                <w:rFonts w:ascii="Courier New" w:cs="Courier New" w:eastAsia="Courier New" w:hAnsi="Courier New"/>
                <w:sz w:val="18"/>
                <w:szCs w:val="18"/>
                <w:color w:val="auto"/>
              </w:rPr>
              <w:t>Operating activities:</w:t>
            </w:r>
          </w:p>
        </w:tc>
        <w:tc>
          <w:tcPr>
            <w:tcW w:w="1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$(15,104)</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(2,164)</w:t>
            </w: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 to reconcile net loss to net cash</w:t>
            </w:r>
          </w:p>
        </w:tc>
        <w:tc>
          <w:tcPr>
            <w:tcW w:w="1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6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provided by (used in) operating activities:</w:t>
            </w:r>
          </w:p>
        </w:tc>
        <w:tc>
          <w:tcPr>
            <w:tcW w:w="1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69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Depreciation</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444</w:t>
            </w:r>
          </w:p>
        </w:tc>
        <w:tc>
          <w:tcPr>
            <w:tcW w:w="74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206</w:t>
            </w:r>
          </w:p>
        </w:tc>
      </w:tr>
      <w:tr>
        <w:trPr>
          <w:trHeight w:val="203"/>
        </w:trPr>
        <w:tc>
          <w:tcPr>
            <w:tcW w:w="69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Amortization</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2,593</w:t>
            </w:r>
          </w:p>
        </w:tc>
        <w:tc>
          <w:tcPr>
            <w:tcW w:w="74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845</w:t>
            </w:r>
          </w:p>
        </w:tc>
      </w:tr>
      <w:tr>
        <w:trPr>
          <w:trHeight w:val="203"/>
        </w:trPr>
        <w:tc>
          <w:tcPr>
            <w:tcW w:w="69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Acquired in-process development</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5,812</w:t>
            </w:r>
          </w:p>
        </w:tc>
        <w:tc>
          <w:tcPr>
            <w:tcW w:w="74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Provision for losses on accounts receivable</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237</w:t>
            </w:r>
          </w:p>
        </w:tc>
        <w:tc>
          <w:tcPr>
            <w:tcW w:w="74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w:t>
            </w:r>
          </w:p>
        </w:tc>
      </w:tr>
      <w:tr>
        <w:trPr>
          <w:trHeight w:val="203"/>
        </w:trPr>
        <w:tc>
          <w:tcPr>
            <w:tcW w:w="69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Income tax benefit</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(565)</w:t>
            </w:r>
          </w:p>
        </w:tc>
        <w:tc>
          <w:tcPr>
            <w:tcW w:w="74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Non-cash charges</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69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(1,746)</w:t>
            </w:r>
          </w:p>
        </w:tc>
        <w:tc>
          <w:tcPr>
            <w:tcW w:w="7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(313)</w:t>
            </w:r>
          </w:p>
        </w:tc>
      </w:tr>
      <w:tr>
        <w:trPr>
          <w:trHeight w:val="203"/>
        </w:trPr>
        <w:tc>
          <w:tcPr>
            <w:tcW w:w="6960" w:type="dxa"/>
            <w:vAlign w:val="bottom"/>
          </w:tcPr>
          <w:p>
            <w:pPr>
              <w:spacing w:after="0"/>
              <w:rPr>
                <w:sz w:val="17"/>
                <w:szCs w:val="17"/>
                <w:color w:val="auto"/>
              </w:rPr>
            </w:pPr>
          </w:p>
        </w:tc>
        <w:tc>
          <w:tcPr>
            <w:tcW w:w="3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in operating activities</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(8,329)</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(1,324)</w:t>
            </w:r>
          </w:p>
        </w:tc>
      </w:tr>
      <w:tr>
        <w:trPr>
          <w:trHeight w:val="405"/>
        </w:trPr>
        <w:tc>
          <w:tcPr>
            <w:tcW w:w="6960" w:type="dxa"/>
            <w:vAlign w:val="bottom"/>
          </w:tcPr>
          <w:p>
            <w:pPr>
              <w:spacing w:after="0"/>
              <w:rPr>
                <w:sz w:val="20"/>
                <w:szCs w:val="20"/>
                <w:color w:val="auto"/>
              </w:rPr>
            </w:pPr>
            <w:r>
              <w:rPr>
                <w:rFonts w:ascii="Courier New" w:cs="Courier New" w:eastAsia="Courier New" w:hAnsi="Courier New"/>
                <w:sz w:val="18"/>
                <w:szCs w:val="18"/>
                <w:color w:val="auto"/>
              </w:rPr>
              <w:t>Investing activities:</w:t>
            </w:r>
          </w:p>
        </w:tc>
        <w:tc>
          <w:tcPr>
            <w:tcW w:w="1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purchases of property and equipment</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(1,986)</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889)</w:t>
            </w: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and other assets</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(2,799)</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410)</w:t>
            </w: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Acquisitions (net of acquired cash)</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(2,407)</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(9,993)</w:t>
            </w:r>
          </w:p>
        </w:tc>
      </w:tr>
      <w:tr>
        <w:trPr>
          <w:trHeight w:val="203"/>
        </w:trPr>
        <w:tc>
          <w:tcPr>
            <w:tcW w:w="6960" w:type="dxa"/>
            <w:vAlign w:val="bottom"/>
          </w:tcPr>
          <w:p>
            <w:pPr>
              <w:spacing w:after="0"/>
              <w:rPr>
                <w:sz w:val="17"/>
                <w:szCs w:val="17"/>
                <w:color w:val="auto"/>
              </w:rPr>
            </w:pPr>
          </w:p>
        </w:tc>
        <w:tc>
          <w:tcPr>
            <w:tcW w:w="3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(7,192)</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(11,292)</w:t>
            </w:r>
          </w:p>
        </w:tc>
      </w:tr>
      <w:tr>
        <w:trPr>
          <w:trHeight w:val="405"/>
        </w:trPr>
        <w:tc>
          <w:tcPr>
            <w:tcW w:w="6960" w:type="dxa"/>
            <w:vAlign w:val="bottom"/>
          </w:tcPr>
          <w:p>
            <w:pPr>
              <w:spacing w:after="0"/>
              <w:rPr>
                <w:sz w:val="20"/>
                <w:szCs w:val="20"/>
                <w:color w:val="auto"/>
              </w:rPr>
            </w:pPr>
            <w:r>
              <w:rPr>
                <w:rFonts w:ascii="Courier New" w:cs="Courier New" w:eastAsia="Courier New" w:hAnsi="Courier New"/>
                <w:sz w:val="18"/>
                <w:szCs w:val="18"/>
                <w:color w:val="auto"/>
              </w:rPr>
              <w:t>Financing activities:</w:t>
            </w:r>
          </w:p>
        </w:tc>
        <w:tc>
          <w:tcPr>
            <w:tcW w:w="1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05"/>
        </w:trPr>
        <w:tc>
          <w:tcPr>
            <w:tcW w:w="6960" w:type="dxa"/>
            <w:vAlign w:val="bottom"/>
          </w:tcPr>
          <w:p>
            <w:pPr>
              <w:spacing w:after="0"/>
              <w:rPr>
                <w:sz w:val="20"/>
                <w:szCs w:val="20"/>
                <w:color w:val="auto"/>
              </w:rPr>
            </w:pPr>
            <w:r>
              <w:rPr>
                <w:rFonts w:ascii="Courier New" w:cs="Courier New" w:eastAsia="Courier New" w:hAnsi="Courier New"/>
                <w:sz w:val="18"/>
                <w:szCs w:val="18"/>
                <w:color w:val="auto"/>
              </w:rPr>
              <w:t>Proceeds from line of credit</w:t>
            </w:r>
          </w:p>
        </w:tc>
        <w:tc>
          <w:tcPr>
            <w:tcW w:w="16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24"/>
                <w:szCs w:val="24"/>
                <w:color w:val="auto"/>
              </w:rPr>
            </w:pP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3,000</w:t>
            </w: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Payment of long term liability</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(2,640)</w:t>
            </w:r>
          </w:p>
        </w:tc>
        <w:tc>
          <w:tcPr>
            <w:tcW w:w="74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proceeds from exercise of stock options</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938</w:t>
            </w:r>
          </w:p>
        </w:tc>
        <w:tc>
          <w:tcPr>
            <w:tcW w:w="74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60" w:type="dxa"/>
            <w:vAlign w:val="bottom"/>
          </w:tcPr>
          <w:p>
            <w:pPr>
              <w:spacing w:after="0"/>
              <w:rPr>
                <w:sz w:val="17"/>
                <w:szCs w:val="17"/>
                <w:color w:val="auto"/>
              </w:rPr>
            </w:pPr>
          </w:p>
        </w:tc>
        <w:tc>
          <w:tcPr>
            <w:tcW w:w="3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in) provided by financing activities</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(1,702)</w:t>
            </w:r>
          </w:p>
        </w:tc>
        <w:tc>
          <w:tcPr>
            <w:tcW w:w="74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3,000</w:t>
            </w:r>
          </w:p>
        </w:tc>
      </w:tr>
      <w:tr>
        <w:trPr>
          <w:trHeight w:val="405"/>
        </w:trPr>
        <w:tc>
          <w:tcPr>
            <w:tcW w:w="6960" w:type="dxa"/>
            <w:vAlign w:val="bottom"/>
          </w:tcPr>
          <w:p>
            <w:pPr>
              <w:spacing w:after="0"/>
              <w:rPr>
                <w:sz w:val="20"/>
                <w:szCs w:val="20"/>
                <w:color w:val="auto"/>
              </w:rPr>
            </w:pPr>
            <w:r>
              <w:rPr>
                <w:rFonts w:ascii="Courier New" w:cs="Courier New" w:eastAsia="Courier New" w:hAnsi="Courier New"/>
                <w:sz w:val="18"/>
                <w:szCs w:val="18"/>
                <w:color w:val="auto"/>
              </w:rPr>
              <w:t>Net increase in cash and cash equivalents</w:t>
            </w:r>
          </w:p>
        </w:tc>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(17,223)</w:t>
            </w:r>
          </w:p>
        </w:tc>
        <w:tc>
          <w:tcPr>
            <w:tcW w:w="1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(9,616)</w:t>
            </w: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beginning of period</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94,074</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19,667</w:t>
            </w:r>
          </w:p>
        </w:tc>
      </w:tr>
      <w:tr>
        <w:trPr>
          <w:trHeight w:val="203"/>
        </w:trPr>
        <w:tc>
          <w:tcPr>
            <w:tcW w:w="6960" w:type="dxa"/>
            <w:vAlign w:val="bottom"/>
          </w:tcPr>
          <w:p>
            <w:pPr>
              <w:spacing w:after="0"/>
              <w:rPr>
                <w:sz w:val="17"/>
                <w:szCs w:val="17"/>
                <w:color w:val="auto"/>
              </w:rPr>
            </w:pPr>
          </w:p>
        </w:tc>
        <w:tc>
          <w:tcPr>
            <w:tcW w:w="3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end of period</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$ 76,851</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$ 10,051</w:t>
            </w:r>
          </w:p>
        </w:tc>
      </w:tr>
      <w:tr>
        <w:trPr>
          <w:trHeight w:val="203"/>
        </w:trPr>
        <w:tc>
          <w:tcPr>
            <w:tcW w:w="6960" w:type="dxa"/>
            <w:vAlign w:val="bottom"/>
          </w:tcPr>
          <w:p>
            <w:pPr>
              <w:spacing w:after="0"/>
              <w:rPr>
                <w:sz w:val="17"/>
                <w:szCs w:val="17"/>
                <w:color w:val="auto"/>
              </w:rPr>
            </w:pPr>
          </w:p>
        </w:tc>
        <w:tc>
          <w:tcPr>
            <w:tcW w:w="3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COSTAR GROUP, INC.</w:t>
      </w:r>
    </w:p>
    <w:p>
      <w:pPr>
        <w:spacing w:after="0" w:line="238" w:lineRule="auto"/>
        <w:rPr>
          <w:sz w:val="20"/>
          <w:szCs w:val="20"/>
          <w:color w:val="auto"/>
        </w:rPr>
      </w:pPr>
      <w:r>
        <w:rPr>
          <w:rFonts w:ascii="Courier New" w:cs="Courier New" w:eastAsia="Courier New" w:hAnsi="Courier New"/>
          <w:sz w:val="18"/>
          <w:szCs w:val="18"/>
          <w:color w:val="auto"/>
        </w:rPr>
        <w:t>NOTES TO CONDENSED CONSOLIDATED FINANCIAL STATEMENTS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ORGANIZATION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CoStar Group, Inc. (the "Company" or the "Registrant") has created a comprehensive, proprietary, national database of commercial real estate information for metropolitan areas throughout the United States. Based on its unique database, the Company provides information to the commercial real estate and related business community and operates within one reportable business segment. The information is distributed to its clients under license agreements, which are typically one to three years in duration.</w:t>
      </w:r>
    </w:p>
    <w:p>
      <w:pPr>
        <w:spacing w:after="0" w:line="211" w:lineRule="exact"/>
        <w:rPr>
          <w:sz w:val="20"/>
          <w:szCs w:val="20"/>
          <w:color w:val="auto"/>
        </w:rPr>
      </w:pPr>
    </w:p>
    <w:p>
      <w:pPr>
        <w:ind w:right="5479" w:firstLine="8"/>
        <w:spacing w:after="0" w:line="470"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SIGNIFICANT ACCOUNTING POLICIES BASIS OF PRESENTATION</w:t>
      </w:r>
    </w:p>
    <w:p>
      <w:pPr>
        <w:spacing w:after="0" w:line="12"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CoStar Group, Inc. is a Delaware corporation and was incorporated in February 1998 to succeed its predecessors, Realty Information Group L.P. ("RIGLP") and OLD RIG, Inc. ("RIGINC"). RIGLP was an operating entity, while RIGINC was a shell holding entity. In connection with the Company's Initial Public Offering on July 1, 1998 ("the Offering"), RIGLP and RIGINC merged with the Company pursuant to the RIG Contribution Agreement dated March 5, 1998. The limited partners of RIGLP (other than RIGINC) and all of the stockholders of RIGINC received 3.03 shares of Common Stock of the Company per each limited partnership unit or share of common stock exchanged, for a total of 5,754,017 shares. As a result of the reorganization of these entities, the Company owned (directly or indirectly) all of the capital stock of RIGINC and all the equity of RIGLP.</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merger has been accounted for as a reorganization of entities under common control similar to a pooling of interests. Following the merger, each shareholder of the Company maintained their exact same ownership of the operating entity, RIGLP, as before the merger. The transfer of assets and liabilities of RIGLP and RIGINC have been recorded at the historical carrying values. The financial statements are presented as if the Company was in existence throughout all periods presented, as one operating entity. All share amounts have been restated to reflect the conversion of partnership units to common stock of the Company. On January 1, 1999, RIGLP and RIGINC were merged into a newly formed corporation, CoStar Realty Information, Inc. ("CoStar Realty"), a wholly owned subsidiary of the Company.</w:t>
      </w:r>
    </w:p>
    <w:p>
      <w:pPr>
        <w:spacing w:after="0" w:line="21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Additionally, the consolidated financial statements of the Company include the accounts of New Market Systems ("NMS") acquired on March 1, 1997, C Data Services, Inc. ("CDS") acquired on August 14, 1998, LeaseTrend, Inc. ("LeaseTrend") acquired on January 8, 1999, Jamison Research, Inc. ("Jamison") acquired on January 22, 1999, ARES Development Group, LLC ("ARES") acquired on September 15, 1999, and COMPS.COM, Inc. ("Comps") acquired on February 10, 2000. CDS was merged into CoStar Realty on January 1, 1999, and LeaseTrend and Jamison were merged into CoStar Realty on December 31, 1999.</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CONSOLIDATION</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The consolidated financial statements include the accounts of the Company and its subsidiaries after elimination of all significant intercompany transactions.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USE OF ESTIMATES</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preparation of financial statements in conformity with accounting principles generally accepted in the United States requires management to make estimates and assumptions that affect the amounts reported in the financial statements and accompanying notes. Actual results could differ from those estimates.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RECLASSIFICATIONS</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Certain previously reported amounts have been reclassified to conform to the Company's current presentation.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97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On August 14, 1998, the Company acquired Houston-based commercial real estate information provider, C Data Services, Inc. CDS was acquired in a transaction in which the former stockholders of CDS received 93,530 shares of common stock of the Company and approximately $9,000 in cash. The transaction was accounted for as a purchase and the consideration was valued for accounting purposes at approximately $617,000 including acquisition expenses.</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January 8, 1999, the Company acquired all of the common stock of LeaseTrend, Inc., a Cincinnati based provider of commercial real estate information, for $4,500,000 in cash and 566,671 shares of the Company's common stock. The transaction was accounted for as a purchase and the consideration was valued for accounting purposes at approximately $9,200,000 including acquisition expenses.</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January 22, 1999, the Company acquired all of the common stock of Jamison Research, Inc., an Atlanta based provider of commercial real estate information, for $5,284,000 in cash and 446,637 shares of the Company's common stock. The transaction was accounted for as a purchase and the consideration was valued for accounting purposes at approximately $10,300,000 including acquisition expenses.</w:t>
      </w:r>
    </w:p>
    <w:p>
      <w:pPr>
        <w:spacing w:after="0" w:line="210"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On September 15, 1999, the Company acquired all of the membership interests of ARES Development Group, LLC, Los Angeles based developers and distributors of ARES for ACT!, for $250,000 in cash and 33,208 shares of the Company's common stock. The transaction was accounted for as a purchase and the consideration was valued for accounting purposes at approximately $1,265,000 including acquisition expenses. In addition, the acquisition agreement provides for $1,000,000 of additional consideration (in a combination of cash and stock) that may be paid by the Company upon the achievement of certain operating goals by the members of ARES. In February 2000, the Company issued 2,140 shares of its common stock and paid $437,500 in cash to the members of ARES for the achievement of the first operating goal by the members of ARES.</w:t>
      </w:r>
    </w:p>
    <w:p>
      <w:pPr>
        <w:spacing w:after="0" w:line="38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On February 10, 2000, the Company completed the acquisition of Comps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 a merger agreement, dated as of November 3, 1999, among the Company, Comps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Acq Sub, Inc. ("Acq Sub"), a wholly owned subsidiary of the Company. Comps'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primary asset is a database of commercial real estate sales information. In</w:t>
      </w:r>
    </w:p>
    <w:p>
      <w:pPr>
        <w:spacing w:after="0" w:line="238" w:lineRule="auto"/>
        <w:rPr>
          <w:sz w:val="20"/>
          <w:szCs w:val="20"/>
          <w:color w:val="auto"/>
        </w:rPr>
      </w:pPr>
      <w:r>
        <w:rPr>
          <w:rFonts w:ascii="Courier New" w:cs="Courier New" w:eastAsia="Courier New" w:hAnsi="Courier New"/>
          <w:sz w:val="18"/>
          <w:szCs w:val="18"/>
          <w:color w:val="auto"/>
        </w:rPr>
        <w:t>connection with the transaction, Comps was merged with and into Acq Sub, which</w:t>
      </w:r>
    </w:p>
    <w:p>
      <w:pPr>
        <w:spacing w:after="0"/>
        <w:rPr>
          <w:sz w:val="20"/>
          <w:szCs w:val="20"/>
          <w:color w:val="auto"/>
        </w:rPr>
      </w:pPr>
      <w:r>
        <w:rPr>
          <w:rFonts w:ascii="Courier New" w:cs="Courier New" w:eastAsia="Courier New" w:hAnsi="Courier New"/>
          <w:sz w:val="18"/>
          <w:szCs w:val="18"/>
          <w:color w:val="auto"/>
        </w:rPr>
        <w:t>was the surviving corporation in the merger. Immediately after the merger, Acq</w:t>
      </w:r>
    </w:p>
    <w:p>
      <w:pPr>
        <w:spacing w:after="0" w:line="237" w:lineRule="auto"/>
        <w:rPr>
          <w:sz w:val="20"/>
          <w:szCs w:val="20"/>
          <w:color w:val="auto"/>
        </w:rPr>
      </w:pPr>
      <w:r>
        <w:rPr>
          <w:rFonts w:ascii="Courier New" w:cs="Courier New" w:eastAsia="Courier New" w:hAnsi="Courier New"/>
          <w:sz w:val="18"/>
          <w:szCs w:val="18"/>
          <w:color w:val="auto"/>
        </w:rPr>
        <w:t>Sub changed its name to Comps, Inc. The aggregate consideration included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$49,015,905 in cash paid to former holders of Comps common stock (excluding cash</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paid for fractional shares), and 2,258,738 shares of the Company's common stock</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(including shares issued to former warrant holders of Comps). The transaction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 accounted for as a purchase and the consideration was valued for accounting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purposes at approximately $101,379,000 including acquisition expenses.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operations of all acquired businesses were included in the Company's statement of operations after the respective date of acquisitions. Except for the portion of the purchase price of acquisitions acquired with cash, these transactions have been excluded from the statements of cash flows.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Company's unaudited pro forma condensed consolidated statements of operations for the three month period ended March 31, 1999 and 2000, assuming the acquisition of LeaseTrend, Jamison, ARES and Comps had been consummated as of January 1 of each period, is summarized as follows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20" w:type="dxa"/>
            <w:vAlign w:val="bottom"/>
          </w:tcPr>
          <w:p>
            <w:pPr>
              <w:spacing w:after="0"/>
              <w:rPr>
                <w:sz w:val="17"/>
                <w:szCs w:val="17"/>
                <w:color w:val="auto"/>
              </w:rPr>
            </w:pPr>
          </w:p>
        </w:tc>
        <w:tc>
          <w:tcPr>
            <w:tcW w:w="296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For the Three Month Period</w:t>
            </w:r>
          </w:p>
        </w:tc>
      </w:tr>
      <w:tr>
        <w:trPr>
          <w:trHeight w:val="203"/>
        </w:trPr>
        <w:tc>
          <w:tcPr>
            <w:tcW w:w="4220" w:type="dxa"/>
            <w:vAlign w:val="bottom"/>
          </w:tcPr>
          <w:p>
            <w:pPr>
              <w:spacing w:after="0"/>
              <w:rPr>
                <w:sz w:val="17"/>
                <w:szCs w:val="17"/>
                <w:color w:val="auto"/>
              </w:rPr>
            </w:pPr>
          </w:p>
        </w:tc>
        <w:tc>
          <w:tcPr>
            <w:tcW w:w="2960" w:type="dxa"/>
            <w:vAlign w:val="bottom"/>
            <w:gridSpan w:val="3"/>
          </w:tcPr>
          <w:p>
            <w:pPr>
              <w:jc w:val="right"/>
              <w:ind w:right="452"/>
              <w:spacing w:after="0" w:line="203" w:lineRule="exact"/>
              <w:rPr>
                <w:sz w:val="20"/>
                <w:szCs w:val="20"/>
                <w:color w:val="auto"/>
              </w:rPr>
            </w:pPr>
            <w:r>
              <w:rPr>
                <w:rFonts w:ascii="Courier New" w:cs="Courier New" w:eastAsia="Courier New" w:hAnsi="Courier New"/>
                <w:sz w:val="18"/>
                <w:szCs w:val="18"/>
                <w:color w:val="auto"/>
              </w:rPr>
              <w:t>Ended March 31,</w:t>
            </w:r>
          </w:p>
        </w:tc>
      </w:tr>
      <w:tr>
        <w:trPr>
          <w:trHeight w:val="203"/>
        </w:trPr>
        <w:tc>
          <w:tcPr>
            <w:tcW w:w="4220" w:type="dxa"/>
            <w:vAlign w:val="bottom"/>
          </w:tcPr>
          <w:p>
            <w:pPr>
              <w:spacing w:after="0"/>
              <w:rPr>
                <w:sz w:val="17"/>
                <w:szCs w:val="17"/>
                <w:color w:val="auto"/>
              </w:rPr>
            </w:pPr>
          </w:p>
        </w:tc>
        <w:tc>
          <w:tcPr>
            <w:tcW w:w="16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2000</w:t>
            </w:r>
          </w:p>
        </w:tc>
        <w:tc>
          <w:tcPr>
            <w:tcW w:w="52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4220" w:type="dxa"/>
            <w:vAlign w:val="bottom"/>
          </w:tcPr>
          <w:p>
            <w:pPr>
              <w:spacing w:after="0"/>
              <w:rPr>
                <w:sz w:val="17"/>
                <w:szCs w:val="17"/>
                <w:color w:val="auto"/>
              </w:rPr>
            </w:pPr>
          </w:p>
        </w:tc>
        <w:tc>
          <w:tcPr>
            <w:tcW w:w="296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16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$ 13,126</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9,954</w:t>
            </w:r>
          </w:p>
        </w:tc>
      </w:tr>
      <w:tr>
        <w:trPr>
          <w:trHeight w:val="203"/>
        </w:trPr>
        <w:tc>
          <w:tcPr>
            <w:tcW w:w="4220" w:type="dxa"/>
            <w:vAlign w:val="bottom"/>
          </w:tcPr>
          <w:p>
            <w:pPr>
              <w:spacing w:after="0"/>
              <w:rPr>
                <w:sz w:val="17"/>
                <w:szCs w:val="17"/>
                <w:color w:val="auto"/>
              </w:rPr>
            </w:pP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w:t>
            </w: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$(18,163)</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(3,963)</w:t>
            </w:r>
          </w:p>
        </w:tc>
      </w:tr>
      <w:tr>
        <w:trPr>
          <w:trHeight w:val="203"/>
        </w:trPr>
        <w:tc>
          <w:tcPr>
            <w:tcW w:w="4220" w:type="dxa"/>
            <w:vAlign w:val="bottom"/>
          </w:tcPr>
          <w:p>
            <w:pPr>
              <w:spacing w:after="0"/>
              <w:rPr>
                <w:sz w:val="17"/>
                <w:szCs w:val="17"/>
                <w:color w:val="auto"/>
              </w:rPr>
            </w:pP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shares</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15,272</w:t>
            </w:r>
          </w:p>
        </w:tc>
        <w:tc>
          <w:tcPr>
            <w:tcW w:w="52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12,045</w:t>
            </w:r>
          </w:p>
        </w:tc>
      </w:tr>
      <w:tr>
        <w:trPr>
          <w:trHeight w:val="203"/>
        </w:trPr>
        <w:tc>
          <w:tcPr>
            <w:tcW w:w="4220" w:type="dxa"/>
            <w:vAlign w:val="bottom"/>
          </w:tcPr>
          <w:p>
            <w:pPr>
              <w:spacing w:after="0"/>
              <w:rPr>
                <w:sz w:val="17"/>
                <w:szCs w:val="17"/>
                <w:color w:val="auto"/>
              </w:rPr>
            </w:pP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 per share - basic and diluted</w:t>
            </w: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  (1.19)</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(0.33)</w:t>
            </w:r>
          </w:p>
        </w:tc>
      </w:tr>
      <w:tr>
        <w:trPr>
          <w:trHeight w:val="203"/>
        </w:trPr>
        <w:tc>
          <w:tcPr>
            <w:tcW w:w="4220" w:type="dxa"/>
            <w:vAlign w:val="bottom"/>
          </w:tcPr>
          <w:p>
            <w:pPr>
              <w:spacing w:after="0"/>
              <w:rPr>
                <w:sz w:val="17"/>
                <w:szCs w:val="17"/>
                <w:color w:val="auto"/>
              </w:rPr>
            </w:pP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ectPr>
          <w:pgSz w:w="11900" w:h="16838" w:orient="portrait"/>
          <w:cols w:equalWidth="0" w:num="1">
            <w:col w:w="10219"/>
          </w:cols>
          <w:pgMar w:left="240" w:top="312" w:right="1440" w:bottom="0" w:gutter="0" w:footer="0" w:header="0"/>
        </w:sectPr>
      </w:pPr>
    </w:p>
    <w:p>
      <w:pPr>
        <w:spacing w:after="0" w:line="200" w:lineRule="exact"/>
        <w:rPr>
          <w:sz w:val="20"/>
          <w:szCs w:val="20"/>
          <w:color w:val="auto"/>
        </w:rPr>
      </w:pPr>
    </w:p>
    <w:p>
      <w:pPr>
        <w:spacing w:after="0" w:line="212"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12" w:right="1440" w:bottom="0" w:gutter="0" w:footer="0" w:header="0"/>
          <w:type w:val="continuous"/>
        </w:sectPr>
      </w:pPr>
    </w:p>
    <w:bookmarkStart w:id="7" w:name="page8"/>
    <w:bookmarkEnd w:id="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INTANGIBLE AND OTHER ASSETS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Intangible and other assets consists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60" w:type="dxa"/>
            <w:vAlign w:val="bottom"/>
          </w:tcPr>
          <w:p>
            <w:pPr>
              <w:spacing w:after="0"/>
              <w:rPr>
                <w:sz w:val="17"/>
                <w:szCs w:val="17"/>
                <w:color w:val="auto"/>
              </w:rPr>
            </w:pPr>
          </w:p>
        </w:tc>
        <w:tc>
          <w:tcPr>
            <w:tcW w:w="24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March 31,</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5060" w:type="dxa"/>
            <w:vAlign w:val="bottom"/>
          </w:tcPr>
          <w:p>
            <w:pPr>
              <w:spacing w:after="0"/>
              <w:rPr>
                <w:sz w:val="17"/>
                <w:szCs w:val="17"/>
                <w:color w:val="auto"/>
              </w:rPr>
            </w:pPr>
          </w:p>
        </w:tc>
        <w:tc>
          <w:tcPr>
            <w:tcW w:w="2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2000</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5060" w:type="dxa"/>
            <w:vAlign w:val="bottom"/>
          </w:tcPr>
          <w:p>
            <w:pPr>
              <w:spacing w:after="0"/>
              <w:rPr>
                <w:sz w:val="17"/>
                <w:szCs w:val="17"/>
                <w:color w:val="auto"/>
              </w:rPr>
            </w:pPr>
          </w:p>
        </w:tc>
        <w:tc>
          <w:tcPr>
            <w:tcW w:w="2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Capitalized product development costs</w:t>
            </w:r>
          </w:p>
        </w:tc>
        <w:tc>
          <w:tcPr>
            <w:tcW w:w="2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1,435</w:t>
            </w:r>
          </w:p>
        </w:tc>
        <w:tc>
          <w:tcPr>
            <w:tcW w:w="15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  1,435</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amortization</w:t>
            </w:r>
          </w:p>
        </w:tc>
        <w:tc>
          <w:tcPr>
            <w:tcW w:w="2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(688)</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(617)</w:t>
            </w:r>
          </w:p>
        </w:tc>
      </w:tr>
      <w:tr>
        <w:trPr>
          <w:trHeight w:val="203"/>
        </w:trPr>
        <w:tc>
          <w:tcPr>
            <w:tcW w:w="5060" w:type="dxa"/>
            <w:vAlign w:val="bottom"/>
          </w:tcPr>
          <w:p>
            <w:pPr>
              <w:spacing w:after="0"/>
              <w:rPr>
                <w:sz w:val="17"/>
                <w:szCs w:val="17"/>
                <w:color w:val="auto"/>
              </w:rPr>
            </w:pPr>
          </w:p>
        </w:tc>
        <w:tc>
          <w:tcPr>
            <w:tcW w:w="2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rPr>
                <w:sz w:val="17"/>
                <w:szCs w:val="17"/>
                <w:color w:val="auto"/>
              </w:rPr>
            </w:pPr>
          </w:p>
        </w:tc>
        <w:tc>
          <w:tcPr>
            <w:tcW w:w="2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747</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818</w:t>
            </w:r>
          </w:p>
        </w:tc>
      </w:tr>
      <w:tr>
        <w:trPr>
          <w:trHeight w:val="203"/>
        </w:trPr>
        <w:tc>
          <w:tcPr>
            <w:tcW w:w="5060" w:type="dxa"/>
            <w:vAlign w:val="bottom"/>
          </w:tcPr>
          <w:p>
            <w:pPr>
              <w:spacing w:after="0"/>
              <w:rPr>
                <w:sz w:val="17"/>
                <w:szCs w:val="17"/>
                <w:color w:val="auto"/>
              </w:rPr>
            </w:pPr>
          </w:p>
        </w:tc>
        <w:tc>
          <w:tcPr>
            <w:tcW w:w="2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 photography</w:t>
            </w:r>
          </w:p>
        </w:tc>
        <w:tc>
          <w:tcPr>
            <w:tcW w:w="2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3,530</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3,118</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Acquired technology</w:t>
            </w:r>
          </w:p>
        </w:tc>
        <w:tc>
          <w:tcPr>
            <w:tcW w:w="2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19,831</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3,552</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Customer base</w:t>
            </w:r>
          </w:p>
        </w:tc>
        <w:tc>
          <w:tcPr>
            <w:tcW w:w="2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31,523</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19,347</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Tradename</w:t>
            </w:r>
          </w:p>
        </w:tc>
        <w:tc>
          <w:tcPr>
            <w:tcW w:w="2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4,198</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w:t>
            </w:r>
          </w:p>
        </w:tc>
        <w:tc>
          <w:tcPr>
            <w:tcW w:w="2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49,596</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9,894</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amortization</w:t>
            </w:r>
          </w:p>
        </w:tc>
        <w:tc>
          <w:tcPr>
            <w:tcW w:w="2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(8,028)</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(5,507)</w:t>
            </w:r>
          </w:p>
        </w:tc>
      </w:tr>
      <w:tr>
        <w:trPr>
          <w:trHeight w:val="203"/>
        </w:trPr>
        <w:tc>
          <w:tcPr>
            <w:tcW w:w="5060" w:type="dxa"/>
            <w:vAlign w:val="bottom"/>
          </w:tcPr>
          <w:p>
            <w:pPr>
              <w:spacing w:after="0"/>
              <w:rPr>
                <w:sz w:val="17"/>
                <w:szCs w:val="17"/>
                <w:color w:val="auto"/>
              </w:rPr>
            </w:pPr>
          </w:p>
        </w:tc>
        <w:tc>
          <w:tcPr>
            <w:tcW w:w="2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rPr>
                <w:sz w:val="17"/>
                <w:szCs w:val="17"/>
                <w:color w:val="auto"/>
              </w:rPr>
            </w:pPr>
          </w:p>
        </w:tc>
        <w:tc>
          <w:tcPr>
            <w:tcW w:w="2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100,650</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30,404</w:t>
            </w:r>
          </w:p>
        </w:tc>
      </w:tr>
      <w:tr>
        <w:trPr>
          <w:trHeight w:val="203"/>
        </w:trPr>
        <w:tc>
          <w:tcPr>
            <w:tcW w:w="5060" w:type="dxa"/>
            <w:vAlign w:val="bottom"/>
          </w:tcPr>
          <w:p>
            <w:pPr>
              <w:spacing w:after="0"/>
              <w:rPr>
                <w:sz w:val="17"/>
                <w:szCs w:val="17"/>
                <w:color w:val="auto"/>
              </w:rPr>
            </w:pPr>
          </w:p>
        </w:tc>
        <w:tc>
          <w:tcPr>
            <w:tcW w:w="2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and other assets</w:t>
            </w:r>
          </w:p>
        </w:tc>
        <w:tc>
          <w:tcPr>
            <w:tcW w:w="2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$101,397</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$ 31,222</w:t>
            </w:r>
          </w:p>
        </w:tc>
      </w:tr>
      <w:tr>
        <w:trPr>
          <w:trHeight w:val="203"/>
        </w:trPr>
        <w:tc>
          <w:tcPr>
            <w:tcW w:w="5060" w:type="dxa"/>
            <w:vAlign w:val="bottom"/>
          </w:tcPr>
          <w:p>
            <w:pPr>
              <w:spacing w:after="0"/>
              <w:rPr>
                <w:sz w:val="17"/>
                <w:szCs w:val="17"/>
                <w:color w:val="auto"/>
              </w:rPr>
            </w:pPr>
          </w:p>
        </w:tc>
        <w:tc>
          <w:tcPr>
            <w:tcW w:w="2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COMMITMENTS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Company leases office space and equipment under operating lease agreements that expire at various dates through the year 2010. Lease agreements provide for various renewal terms and reimbursement of taxes, maintenance, insurance and other occupancy expenses applicable to the leased premises or property.</w:t>
      </w:r>
    </w:p>
    <w:p>
      <w:pPr>
        <w:spacing w:after="0" w:line="209"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At March 31, 2000 minimum lease payments under operating leases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2000</w:t>
            </w:r>
          </w:p>
        </w:tc>
        <w:tc>
          <w:tcPr>
            <w:tcW w:w="522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$ 4,342</w:t>
            </w: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2001</w:t>
            </w:r>
          </w:p>
        </w:tc>
        <w:tc>
          <w:tcPr>
            <w:tcW w:w="5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4,405</w:t>
            </w: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2002</w:t>
            </w:r>
          </w:p>
        </w:tc>
        <w:tc>
          <w:tcPr>
            <w:tcW w:w="5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4,074</w:t>
            </w: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2003</w:t>
            </w:r>
          </w:p>
        </w:tc>
        <w:tc>
          <w:tcPr>
            <w:tcW w:w="5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3,575</w:t>
            </w: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2004</w:t>
            </w:r>
          </w:p>
        </w:tc>
        <w:tc>
          <w:tcPr>
            <w:tcW w:w="5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thereafter ...............................</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15,878</w:t>
            </w:r>
          </w:p>
        </w:tc>
      </w:tr>
      <w:tr>
        <w:trPr>
          <w:trHeight w:val="203"/>
        </w:trPr>
        <w:tc>
          <w:tcPr>
            <w:tcW w:w="48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$32,274</w:t>
            </w:r>
          </w:p>
        </w:tc>
      </w:tr>
      <w:tr>
        <w:trPr>
          <w:trHeight w:val="203"/>
        </w:trPr>
        <w:tc>
          <w:tcPr>
            <w:tcW w:w="48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800" w:type="dxa"/>
            <w:vAlign w:val="bottom"/>
          </w:tcPr>
          <w:p>
            <w:pPr>
              <w:spacing w:after="0"/>
              <w:rPr>
                <w:sz w:val="17"/>
                <w:szCs w:val="17"/>
                <w:color w:val="auto"/>
              </w:rPr>
            </w:pPr>
          </w:p>
        </w:tc>
        <w:tc>
          <w:tcPr>
            <w:tcW w:w="6840" w:type="dxa"/>
            <w:vAlign w:val="bottom"/>
          </w:tcPr>
          <w:p>
            <w:pPr>
              <w:spacing w:after="0"/>
              <w:rPr>
                <w:sz w:val="17"/>
                <w:szCs w:val="17"/>
                <w:color w:val="auto"/>
              </w:rPr>
            </w:pPr>
          </w:p>
        </w:tc>
      </w:tr>
      <w:tr>
        <w:trPr>
          <w:trHeight w:val="608"/>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w:t>
            </w:r>
          </w:p>
        </w:tc>
        <w:tc>
          <w:tcPr>
            <w:tcW w:w="8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2</w:t>
            </w:r>
          </w:p>
        </w:tc>
        <w:tc>
          <w:tcPr>
            <w:tcW w:w="6840" w:type="dxa"/>
            <w:vAlign w:val="bottom"/>
          </w:tcPr>
          <w:p>
            <w:pPr>
              <w:ind w:left="620"/>
              <w:spacing w:after="0"/>
              <w:rPr>
                <w:sz w:val="20"/>
                <w:szCs w:val="20"/>
                <w:color w:val="auto"/>
              </w:rPr>
            </w:pPr>
            <w:r>
              <w:rPr>
                <w:rFonts w:ascii="Courier New" w:cs="Courier New" w:eastAsia="Courier New" w:hAnsi="Courier New"/>
                <w:sz w:val="18"/>
                <w:szCs w:val="18"/>
                <w:color w:val="auto"/>
                <w:w w:val="97"/>
              </w:rPr>
              <w:t>MANAGEMENT'S DISCUSSION AND ANALYSIS OF FINANCIAL CONDITION</w:t>
            </w:r>
          </w:p>
        </w:tc>
      </w:tr>
      <w:tr>
        <w:trPr>
          <w:trHeight w:val="203"/>
        </w:trPr>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AND RESULTS OF OPERATIONS</w:t>
            </w:r>
          </w:p>
        </w:tc>
      </w:tr>
    </w:tbl>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following Management's Discussion and Analysis of Financial Condition and Results of Operations contains forward-looking statements, which involve risks and uncertainties. Our actual results could differ materially from those in such forward-looking statements as a result of certain factors, including those set forth in the Company's Annual Report on Form 10-K for the year ended December 31, 1999, and the Company's other filings with the Securities and Exchange Commission. The following discussion should be read in conjunction with the Company's filings with the Securities and Exchange Commission and the unaudited condensed consolidated financial statements included herein.</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Company is the leading provider of information services to the U.S. commercial real estate industry. We are creating a digital marketplace where the members of the commercial real estate and related business community can continuously interact and facilitate transactions by efficiently exchanging accurate and standardized information. Our wide array of digital service offerings includes a leasing marketplace, a selling marketplace, comparable sales information, decision support, tenant information, property marketing, and industry news. Substantially all of our current services are digitally delivered over the Internet.</w:t>
      </w:r>
    </w:p>
    <w:p>
      <w:pPr>
        <w:spacing w:after="0" w:line="21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We completed our initial public offering in July 1998 and received net proceeds of approximately $22.7 million. We primarily used those net proceeds to fund the geographic and service expansion of our business, including three strategic acquisitions, and to expand our sales and marketing organization. In May 1999, we completed a follow-on public offering and received net proceeds of approximately $97.4 million. We used a portion of those net proceeds to fund the acquisition of Comps, and we expect to use the remainder of the proceeds primarily for development and distribution of new services, expansion of all existing services across our current markets, geographic expansion in the U.S. and international markets, strategic acquisitions and working capital and general corporate purposes.</w:t>
      </w:r>
    </w:p>
    <w:p>
      <w:pPr>
        <w:spacing w:after="0" w:line="21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From 1994 through March 2000, we expanded the geographical coverage of our existing services and developed new services. In addition to internal growth, this expansion included the acquisitions of Chicago ReSource, Inc. in Chicago in 1996 and New Market Systems, Inc. in San Francisco in 1997. In August 1998, we expanded into the Houston region through the acquisition of Houston-based real estate information provider C Data Services, Inc. In January 1999, we expanded further into the Midwest and Florida by acquiring LeaseTrend, and into Atlanta and Dallas/Fort Worth by acquiring Jamison. In September 1999, we acquired ARES, a Los Angeles based developer and distributor of ARES for ACT!. In February 2000, we acquired Comps.</w:t>
      </w:r>
    </w:p>
    <w:p>
      <w:pPr>
        <w:spacing w:after="0" w:line="215"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We consider regions that have had ongoing operations for at least 18 months to be established, and we currently generate positive cash flow from our operations in established regions. As of March 31, 2000, the following regions are those that have been in operation for more than 18 months and that we consider to be established: Washington, New York, Los Angeles, Chicago, San Francisco, Philadelphia and Boston. These regions provide us with substantial cash flow, which we reinvest into the business. Since our inception, the development of our business has required substantial investments for the expansion of services and the establishment of operating regions, which has resulted in substantial net losses on an overall basis.</w:t>
      </w:r>
    </w:p>
    <w:p>
      <w:pPr>
        <w:spacing w:after="0" w:line="215"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incremental cost of introducing new services in an established region in the future may reduce the profitability of a region or cause it to incur losses. We expect continued development and distribution of new services, expansion of all existing services across current markets and geographic expansion in the United States and international markets. Therefore, while we expect operations in existing established regions to remain profitable and provide substantial funding, we expect our overall expansion plans to generate significant losses and negative cash flow from operations during the next 18 months.</w:t>
      </w:r>
    </w:p>
    <w:p>
      <w:pPr>
        <w:spacing w:after="0" w:line="214"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Although our services are expanding rapidly, our CoStar Property and CoStar Tenant services currently generate the largest portion of our revenue. The CoStar Property and CoStar Tenant contracts range from terms of one to three years and generally renew automatically. Upon renewal, many of the contract rates increase automatically in accordance with contract provisions or as a result of renegotiations. To encourage clients to use our services regularly, we charge fixed amounts rather than fees based on actual system usage. We charge</w:t>
      </w:r>
    </w:p>
    <w:p>
      <w:pPr>
        <w:sectPr>
          <w:pgSz w:w="11900" w:h="16838" w:orient="portrait"/>
          <w:cols w:equalWidth="0" w:num="1">
            <w:col w:w="10219"/>
          </w:cols>
          <w:pgMar w:left="240" w:top="312" w:right="1440" w:bottom="0" w:gutter="0" w:footer="0" w:header="0"/>
        </w:sectPr>
      </w:pPr>
    </w:p>
    <w:bookmarkStart w:id="10" w:name="page11"/>
    <w:bookmarkEnd w:id="10"/>
    <w:p>
      <w:pPr>
        <w:ind w:right="1879"/>
        <w:spacing w:after="0" w:line="237" w:lineRule="auto"/>
        <w:rPr>
          <w:sz w:val="20"/>
          <w:szCs w:val="20"/>
          <w:color w:val="auto"/>
        </w:rPr>
      </w:pPr>
      <w:r>
        <w:rPr>
          <w:rFonts w:ascii="Courier New" w:cs="Courier New" w:eastAsia="Courier New" w:hAnsi="Courier New"/>
          <w:sz w:val="18"/>
          <w:szCs w:val="18"/>
          <w:color w:val="auto"/>
        </w:rPr>
        <w:t>our clients based on the number of sites, organization size, the company's business focus, and the number of services to which a client subscribes. Our contract renewal rate currently exceeds 90% on an annual basis. Our clients pay contract fees on an annual, quarterly, or monthly basis. We recognize this revenue over the life of the contract on a straight-line basis beginning with the installation or renewal date. Annual and quarterly advance payments result in deferred revenue, substantially reducing the working capital requirements generated by the growth in our accounts receivable.</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14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THREE MONTHS ENDED MARCH 31, 1999 COMPARED TO</w:t>
      </w:r>
    </w:p>
    <w:p>
      <w:pPr>
        <w:jc w:val="center"/>
        <w:ind w:right="1659"/>
        <w:spacing w:after="0" w:line="238" w:lineRule="auto"/>
        <w:rPr>
          <w:sz w:val="20"/>
          <w:szCs w:val="20"/>
          <w:color w:val="auto"/>
        </w:rPr>
      </w:pPr>
      <w:r>
        <w:rPr>
          <w:rFonts w:ascii="Courier New" w:cs="Courier New" w:eastAsia="Courier New" w:hAnsi="Courier New"/>
          <w:sz w:val="18"/>
          <w:szCs w:val="18"/>
          <w:color w:val="auto"/>
        </w:rPr>
        <w:t>THREE MONTHS ENDED MARCH 31, 2000</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REVENUES. Revenues increased 86% from $6,127,000 for the three months ended March 31, 1999 to $11,372,000 for the three months ended March 31, 2000. The increase resulted primarily from growth in the Company's client base in established regions, expansion of emerging regions entered during 1999 and revenues from the acquisition of Comps.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GROSS MARGINS. Gross margins increased 53% from $3,533,000 for the three months ended March 31, 1999 to $5,395,000 for the three months ended March 31, 2000, while gross margin percentages were 58% and 47% of revenue, respectively. The increase in gross margins resulted principally from significant revenue growth from established regions. The decline in gross margin percentages resulted from expansion of services in established regions, an increase in the number of emerging regions and lower gross margins in the recently acquired Comps. Furthermore, our cost of revenues for the three months ended March 31, 2000 includes purchase price amortization from the LeaseTrend, Jamison, ARES and Comps acquisitions of approximately $844,000 compared to approximately $203,000 for the same period in 1999.</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SELLING AND MARKETING EXPENSES. Selling and marketing expenses increased 173% from $3,083,000 for the three months ended March 31, 1999 to $8,402,000 for the three months ended March 31, 2000. Selling and marketing expenses increased as a result of the cost of the acquired regions during the past 12 months as well as new service initiatives. In addition, continued expansion of the sales organization and marketing efforts required for growth, particularly in emerging regions, including Phoenix, Houston, Tampa, Miami, Denver, and the Midwest, contributed to the increased expenses.</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SOFTWARE DEVELOPMENT. Software development expenses increased 199% from $240,000 for three months ended March 31, 1999 to $718,000 for the three months ended March 31, 2000 reflecting development costs for the expansion of services for emerging and established regions and new service initiatives.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AND ADMINISTRATIVE EXPENSES. General and administrative expenses</w:t>
      </w:r>
    </w:p>
    <w:p>
      <w:pPr>
        <w:spacing w:after="0" w:line="238" w:lineRule="auto"/>
        <w:rPr>
          <w:sz w:val="20"/>
          <w:szCs w:val="20"/>
          <w:color w:val="auto"/>
        </w:rPr>
      </w:pPr>
      <w:r>
        <w:rPr>
          <w:rFonts w:ascii="Courier New" w:cs="Courier New" w:eastAsia="Courier New" w:hAnsi="Courier New"/>
          <w:sz w:val="18"/>
          <w:szCs w:val="18"/>
          <w:color w:val="auto"/>
        </w:rPr>
        <w:t>increased 180% from $1,936,000 for the three months ended March 31, 1999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$5,421,000 for the three months ended March 31, 2000. General and administrative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expenses increased due to the hiring of new employees to support the expanding</w:t>
      </w:r>
    </w:p>
    <w:p>
      <w:pPr>
        <w:spacing w:after="0" w:line="238" w:lineRule="auto"/>
        <w:rPr>
          <w:sz w:val="20"/>
          <w:szCs w:val="20"/>
          <w:color w:val="auto"/>
        </w:rPr>
      </w:pPr>
      <w:r>
        <w:rPr>
          <w:rFonts w:ascii="Courier New" w:cs="Courier New" w:eastAsia="Courier New" w:hAnsi="Courier New"/>
          <w:sz w:val="18"/>
          <w:szCs w:val="18"/>
          <w:color w:val="auto"/>
        </w:rPr>
        <w:t>scope of our operations and client base and also the increase in employees due</w:t>
      </w:r>
    </w:p>
    <w:p>
      <w:pPr>
        <w:spacing w:after="0"/>
        <w:rPr>
          <w:sz w:val="20"/>
          <w:szCs w:val="20"/>
          <w:color w:val="auto"/>
        </w:rPr>
      </w:pPr>
      <w:r>
        <w:rPr>
          <w:rFonts w:ascii="Courier New" w:cs="Courier New" w:eastAsia="Courier New" w:hAnsi="Courier New"/>
          <w:sz w:val="18"/>
          <w:szCs w:val="18"/>
          <w:color w:val="auto"/>
        </w:rPr>
        <w:t>to the acquisition of Comps.</w:t>
      </w:r>
    </w:p>
    <w:p>
      <w:pPr>
        <w:spacing w:after="0" w:line="20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PURCHASE AMORTIZATION. Purchase amortization increased 247% from $500,000 for the three months ended March 31, 1999 to $1,737,000 for the three months ended March 31, 2000. Purchase amortization increased primarily due to the acquisition of Comps.</w:t>
      </w:r>
    </w:p>
    <w:p>
      <w:pPr>
        <w:spacing w:after="0" w:line="207" w:lineRule="exact"/>
        <w:rPr>
          <w:sz w:val="20"/>
          <w:szCs w:val="20"/>
          <w:color w:val="auto"/>
        </w:rPr>
      </w:pPr>
    </w:p>
    <w:p>
      <w:pPr>
        <w:jc w:val="both"/>
        <w:ind w:right="2419"/>
        <w:spacing w:after="0" w:line="236" w:lineRule="auto"/>
        <w:rPr>
          <w:sz w:val="20"/>
          <w:szCs w:val="20"/>
          <w:color w:val="auto"/>
        </w:rPr>
      </w:pPr>
      <w:r>
        <w:rPr>
          <w:rFonts w:ascii="Courier New" w:cs="Courier New" w:eastAsia="Courier New" w:hAnsi="Courier New"/>
          <w:sz w:val="18"/>
          <w:szCs w:val="18"/>
          <w:color w:val="auto"/>
        </w:rPr>
        <w:t>ACQUIRED IN-PROCESS DEVELOPMENT. Acquired in-process development costs of $5,812,000 for the three months ended March 31, 2000 consist of in-process development costs written off as part of the Comps acquisition.</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OTHER INCOME, NET. Interest and other income increased from $62,000 for the three months ended March 31, 1999 to $1,026,000 for the three months ended March 31, 2000. This increase was a direct result of interest earned on the proceeds from the follow-on public offering.</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INCOME TAX BENEFIT. An income tax benefit of $565,000 for the three months ended March 31, 2000 is a result of the impact of the reversal of the deferred tax liability in connection with the amortization of identified intangible assets established during recent acquisitions.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Our cash and cash equivalents balance was $76,851,000 at March 31, 2000, a decrease of $17,223,000 from $94,074,000 at December 31, 1999. This decrease was due principally to the $2,407,000 (net of acquired cash) used for the acquisition of Comps on February 10, 2000, cash used in operating activities, $1,986,000 in purchases of property and equipment and $412,000 in purchased building photography. During the first quarter of 2000, we financed our operations and growth through cash flow from the established regions and the proceeds of the follow-on offering. Net cash used in operations for the three months ended March 31, 2000 was $8,329,000 compared to net cash used by operating activities of $1,324,000 for the three months ended March 31, 1999. This was a direct result of increased expansion in the emerging and acquired regions. Additionally, we received advance payments from clients on a number of contracts, resulting in the generation of cash as reflected in deferred revenue balances of $8,927,000 and $2,635,000 as of March 31, 2000 and December 31, 1999, respectively. This increase in deferred revenues was a result of the acquisition of Comps as well as a large number of annual contracts billed in the first quarter of 2000. We continue to experience overall operating losses as a result of our recent expansion into emerging and acquired regions, while established regions continue to generate substantial cash flow from operations.</w:t>
      </w:r>
    </w:p>
    <w:p>
      <w:pPr>
        <w:spacing w:after="0" w:line="39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Net cash used in investing activities amounted to $7,192,000 for the three months ended March 31, 2000, including $2,407,000 (net of acquired cash) for the acquisition of Comps. Additional investing activities included purchased building photography and purchase of property and equipment, consisting principally of computer and office equipment. As a result of our expansion, we have entered into numerous operating leases for office space throughout the country, including the Company's and Comps headquarters and have commitments for rent payments ranging from $2,436,000 to $4,405,000 annually over the next ten years. Other than such leases and related commitments for leasehold improvements, we currently have no material commitments for capital expenditures.</w:t>
      </w:r>
    </w:p>
    <w:p>
      <w:pPr>
        <w:spacing w:after="0" w:line="21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To date, we have grown in part by acquiring other companies, and we may continue to make acquisitions. Our acquisitions may vary in size and could be material to our current operations. We expect to use cash, stock, or other means of funding to make these acquisitions.</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We expect to incur significantly higher costs, particularly as we introduce new and upgraded services, expand geographically, and develop the infrastructure to support the expanding organization and client base. Based on current plans, we believe that our available cash combined with positive cash flow from our established regions should be sufficient to fund our operations for at least the next two years.</w:t>
      </w:r>
    </w:p>
    <w:p>
      <w:pPr>
        <w:spacing w:after="0" w:line="210"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Through September 30, 1998, we operated as either a Subchapter S corporation or a limited partnership, and we were not subject to corporate income taxes. After September 30, 1998, we became a taxable entity. Although we have experienced losses to date, future profits, to the extent not offset by the benefits of loss carryforwards, would result in income tax liabilities. We do not expect to benefit substantially from tax loss carryforwards generated prior to July 1998. Further, the reversal of deferred taxes of approximately $19.0 million at March 31, 2000, recorded in connection with the purchase of acquired intangibles, will result in a non-cash income tax benefit in future periods.</w:t>
      </w:r>
    </w:p>
    <w:p>
      <w:pPr>
        <w:spacing w:after="0" w:line="184"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We do not believe the impact of inflation has significantly affected our operations.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12</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QUANTITATIVE AND QUALITATIVE DISCLOSURES ABOUT MARKET RISK</w:t>
      </w:r>
    </w:p>
    <w:p>
      <w:pPr>
        <w:spacing w:after="0" w:line="207" w:lineRule="exact"/>
        <w:rPr>
          <w:sz w:val="20"/>
          <w:szCs w:val="20"/>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The Company does not have significant exposure to market risks associated with the changes in interest rates related to its cash equivalent securities held as of March 31, 2000.</w:t>
      </w:r>
    </w:p>
    <w:p>
      <w:pPr>
        <w:spacing w:after="0" w:line="20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On November 5, 1999, a suit was filed in the Court of Chancery of the State of Delaware in and for New Castle County under the caption Morris v. Avis, et al (C.A. 197554). The suit alleged breaches of fiduciary duties by the former members of the board of directors of Comps and Summit Partners. On November 8, 1999, a suit was filed in the Superior Court of the State of California of and for the County of San Diego captioned Berghoff v. Comps.com et al (case no. GIC 738362). The allegations in the California lawsuit are similar to the allegations in the Delaware suit. The plaintiffs in both of these lawsuits had requested monetary damages and injunctive relief to prevent the consummation of the merger between Comps and the Company. On January 6, 2000, the Delaware suit was voluntarily dismissed by the plaintiff. On February 4, 2000, the parties to the California lawsuit entered into a Memorandum of Understanding that sets forth their agreement to settle the lawsuit. The parties subsequently negotiated and executed a more detailed Joint Stipulation and Agreement of Compromise, Settlement and Release ("Joint Stipulation"). On April 7, 2000, the Court entered an Order of Preliminary Class Action Settlement, consistent with the terms of the Joint Stipulation. The Court tentatively scheduled a final settlement hearing for September 15, 2000, to follow appropriate notice to the class members.</w:t>
      </w: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CHANGES IN SECURITIES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DEFAULTS UPON SENIOR SECURITIES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7" w:lineRule="exact"/>
        <w:rPr>
          <w:sz w:val="20"/>
          <w:szCs w:val="20"/>
          <w:color w:val="auto"/>
        </w:rPr>
      </w:pPr>
    </w:p>
    <w:p>
      <w:pPr>
        <w:ind w:right="2519" w:firstLine="948"/>
        <w:spacing w:after="0" w:line="235" w:lineRule="auto"/>
        <w:rPr>
          <w:sz w:val="20"/>
          <w:szCs w:val="20"/>
          <w:color w:val="auto"/>
        </w:rPr>
      </w:pPr>
      <w:r>
        <w:rPr>
          <w:rFonts w:ascii="Courier New" w:cs="Courier New" w:eastAsia="Courier New" w:hAnsi="Courier New"/>
          <w:sz w:val="18"/>
          <w:szCs w:val="18"/>
          <w:color w:val="auto"/>
        </w:rPr>
        <w:t>The Company did not submit any matters to a vote of its security holders during the quarter ended March 31, 2000.</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12"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13</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A current report on Form 8-K was filed by the Company on February 25, 2000 with respect to the closing of the acquisition of COMPS.COM, Inc. by the Company.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20"/>
                <w:szCs w:val="20"/>
                <w:color w:val="auto"/>
              </w:rPr>
            </w:pPr>
            <w:r>
              <w:rPr>
                <w:rFonts w:ascii="Courier New" w:cs="Courier New" w:eastAsia="Courier New" w:hAnsi="Courier New"/>
                <w:sz w:val="18"/>
                <w:szCs w:val="18"/>
                <w:color w:val="auto"/>
              </w:rPr>
              <w:t>EXHIBIT NUMBER:</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EXHIBIT DESCRIPTION:</w:t>
            </w: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2.1</w:t>
            </w:r>
          </w:p>
        </w:tc>
        <w:tc>
          <w:tcPr>
            <w:tcW w:w="6640" w:type="dxa"/>
            <w:vAlign w:val="bottom"/>
          </w:tcPr>
          <w:p>
            <w:pPr>
              <w:ind w:left="200"/>
              <w:spacing w:after="0"/>
              <w:rPr>
                <w:sz w:val="20"/>
                <w:szCs w:val="20"/>
                <w:color w:val="auto"/>
              </w:rPr>
            </w:pPr>
            <w:r>
              <w:rPr>
                <w:rFonts w:ascii="Courier New" w:cs="Courier New" w:eastAsia="Courier New" w:hAnsi="Courier New"/>
                <w:sz w:val="18"/>
                <w:szCs w:val="18"/>
                <w:color w:val="auto"/>
                <w:w w:val="97"/>
              </w:rPr>
              <w:t>Agreement and Plan of Merger by and among CoStar Group, Inc.,</w:t>
            </w:r>
          </w:p>
        </w:tc>
      </w:tr>
      <w:tr>
        <w:trPr>
          <w:trHeight w:val="203"/>
        </w:trPr>
        <w:tc>
          <w:tcPr>
            <w:tcW w:w="1700" w:type="dxa"/>
            <w:vAlign w:val="bottom"/>
          </w:tcPr>
          <w:p>
            <w:pPr>
              <w:spacing w:after="0"/>
              <w:rPr>
                <w:sz w:val="17"/>
                <w:szCs w:val="17"/>
                <w:color w:val="auto"/>
              </w:rPr>
            </w:pPr>
          </w:p>
        </w:tc>
        <w:tc>
          <w:tcPr>
            <w:tcW w:w="6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COMPS.COM, Inc., and Acq Sub, Inc., dated as of November 3,</w:t>
            </w:r>
          </w:p>
        </w:tc>
      </w:tr>
      <w:tr>
        <w:trPr>
          <w:trHeight w:val="203"/>
        </w:trPr>
        <w:tc>
          <w:tcPr>
            <w:tcW w:w="1700" w:type="dxa"/>
            <w:vAlign w:val="bottom"/>
          </w:tcPr>
          <w:p>
            <w:pPr>
              <w:spacing w:after="0"/>
              <w:rPr>
                <w:sz w:val="17"/>
                <w:szCs w:val="17"/>
                <w:color w:val="auto"/>
              </w:rPr>
            </w:pPr>
          </w:p>
        </w:tc>
        <w:tc>
          <w:tcPr>
            <w:tcW w:w="6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1999 (Incorporated by reference to Exhibit 2.1 to the report</w:t>
            </w:r>
          </w:p>
        </w:tc>
      </w:tr>
      <w:tr>
        <w:trPr>
          <w:trHeight w:val="203"/>
        </w:trPr>
        <w:tc>
          <w:tcPr>
            <w:tcW w:w="1700" w:type="dxa"/>
            <w:vAlign w:val="bottom"/>
          </w:tcPr>
          <w:p>
            <w:pPr>
              <w:spacing w:after="0"/>
              <w:rPr>
                <w:sz w:val="17"/>
                <w:szCs w:val="17"/>
                <w:color w:val="auto"/>
              </w:rPr>
            </w:pPr>
          </w:p>
        </w:tc>
        <w:tc>
          <w:tcPr>
            <w:tcW w:w="6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of the Company on Form 8-K (File No. 0-24531) filed with the</w:t>
            </w:r>
          </w:p>
        </w:tc>
      </w:tr>
      <w:tr>
        <w:trPr>
          <w:trHeight w:val="203"/>
        </w:trPr>
        <w:tc>
          <w:tcPr>
            <w:tcW w:w="1700" w:type="dxa"/>
            <w:vAlign w:val="bottom"/>
          </w:tcPr>
          <w:p>
            <w:pPr>
              <w:spacing w:after="0"/>
              <w:rPr>
                <w:sz w:val="17"/>
                <w:szCs w:val="17"/>
                <w:color w:val="auto"/>
              </w:rPr>
            </w:pPr>
          </w:p>
        </w:tc>
        <w:tc>
          <w:tcPr>
            <w:tcW w:w="6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Commission on November 17, 1999).</w:t>
            </w: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2.2</w:t>
            </w:r>
          </w:p>
        </w:tc>
        <w:tc>
          <w:tcPr>
            <w:tcW w:w="6640" w:type="dxa"/>
            <w:vAlign w:val="bottom"/>
          </w:tcPr>
          <w:p>
            <w:pPr>
              <w:ind w:left="200"/>
              <w:spacing w:after="0"/>
              <w:rPr>
                <w:sz w:val="20"/>
                <w:szCs w:val="20"/>
                <w:color w:val="auto"/>
              </w:rPr>
            </w:pPr>
            <w:r>
              <w:rPr>
                <w:rFonts w:ascii="Courier New" w:cs="Courier New" w:eastAsia="Courier New" w:hAnsi="Courier New"/>
                <w:sz w:val="18"/>
                <w:szCs w:val="18"/>
                <w:color w:val="auto"/>
              </w:rPr>
              <w:t>Side Letter, dated February 10, 2000, by and between CoStar</w:t>
            </w:r>
          </w:p>
        </w:tc>
      </w:tr>
      <w:tr>
        <w:trPr>
          <w:trHeight w:val="203"/>
        </w:trPr>
        <w:tc>
          <w:tcPr>
            <w:tcW w:w="1700" w:type="dxa"/>
            <w:vAlign w:val="bottom"/>
          </w:tcPr>
          <w:p>
            <w:pPr>
              <w:spacing w:after="0"/>
              <w:rPr>
                <w:sz w:val="17"/>
                <w:szCs w:val="17"/>
                <w:color w:val="auto"/>
              </w:rPr>
            </w:pPr>
          </w:p>
        </w:tc>
        <w:tc>
          <w:tcPr>
            <w:tcW w:w="6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Group, Inc. and Christopher Crane.</w:t>
            </w: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27</w:t>
            </w:r>
          </w:p>
        </w:tc>
        <w:tc>
          <w:tcPr>
            <w:tcW w:w="6640" w:type="dxa"/>
            <w:vAlign w:val="bottom"/>
          </w:tcPr>
          <w:p>
            <w:pPr>
              <w:ind w:left="200"/>
              <w:spacing w:after="0"/>
              <w:rPr>
                <w:sz w:val="20"/>
                <w:szCs w:val="20"/>
                <w:color w:val="auto"/>
              </w:rPr>
            </w:pPr>
            <w:r>
              <w:rPr>
                <w:rFonts w:ascii="Courier New" w:cs="Courier New" w:eastAsia="Courier New" w:hAnsi="Courier New"/>
                <w:sz w:val="18"/>
                <w:szCs w:val="18"/>
                <w:color w:val="auto"/>
              </w:rPr>
              <w:t>Financial Data Schedule</w:t>
            </w:r>
          </w:p>
        </w:tc>
      </w:tr>
      <w:tr>
        <w:trPr>
          <w:trHeight w:val="405"/>
        </w:trPr>
        <w:tc>
          <w:tcPr>
            <w:tcW w:w="1700" w:type="dxa"/>
            <w:vAlign w:val="bottom"/>
          </w:tcPr>
          <w:p>
            <w:pPr>
              <w:spacing w:after="0"/>
              <w:rPr>
                <w:sz w:val="24"/>
                <w:szCs w:val="24"/>
                <w:color w:val="auto"/>
              </w:rPr>
            </w:pPr>
          </w:p>
        </w:tc>
        <w:tc>
          <w:tcPr>
            <w:tcW w:w="6640" w:type="dxa"/>
            <w:vAlign w:val="bottom"/>
          </w:tcPr>
          <w:p>
            <w:pPr>
              <w:ind w:left="2420"/>
              <w:spacing w:after="0"/>
              <w:rPr>
                <w:sz w:val="20"/>
                <w:szCs w:val="20"/>
                <w:color w:val="auto"/>
              </w:rPr>
            </w:pPr>
            <w:r>
              <w:rPr>
                <w:rFonts w:ascii="Courier New" w:cs="Courier New" w:eastAsia="Courier New" w:hAnsi="Courier New"/>
                <w:sz w:val="18"/>
                <w:szCs w:val="18"/>
                <w:color w:val="auto"/>
              </w:rPr>
              <w:t>13</w:t>
            </w:r>
          </w:p>
        </w:tc>
      </w:tr>
    </w:tbl>
    <w:p>
      <w:pPr>
        <w:sectPr>
          <w:pgSz w:w="11900" w:h="16838" w:orient="portrait"/>
          <w:cols w:equalWidth="0" w:num="1">
            <w:col w:w="10219"/>
          </w:cols>
          <w:pgMar w:left="240" w:top="312"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COSTAR GROUP, INC.</w:t>
      </w:r>
    </w:p>
    <w:p>
      <w:pPr>
        <w:spacing w:after="0" w:line="201" w:lineRule="exact"/>
        <w:rPr>
          <w:sz w:val="20"/>
          <w:szCs w:val="20"/>
          <w:color w:val="auto"/>
        </w:rPr>
      </w:pPr>
    </w:p>
    <w:p>
      <w:pPr>
        <w:ind w:left="1280"/>
        <w:spacing w:after="0"/>
        <w:tabs>
          <w:tab w:leader="none" w:pos="3880" w:val="left"/>
        </w:tabs>
        <w:rPr>
          <w:sz w:val="20"/>
          <w:szCs w:val="20"/>
          <w:color w:val="auto"/>
        </w:rPr>
      </w:pPr>
      <w:r>
        <w:rPr>
          <w:rFonts w:ascii="Courier New" w:cs="Courier New" w:eastAsia="Courier New" w:hAnsi="Courier New"/>
          <w:sz w:val="18"/>
          <w:szCs w:val="18"/>
          <w:color w:val="auto"/>
        </w:rPr>
        <w:t>Date: May 15, 2000</w:t>
      </w:r>
      <w:r>
        <w:rPr>
          <w:sz w:val="20"/>
          <w:szCs w:val="20"/>
          <w:color w:val="auto"/>
        </w:rPr>
        <w:tab/>
      </w:r>
      <w:r>
        <w:rPr>
          <w:rFonts w:ascii="Courier New" w:cs="Courier New" w:eastAsia="Courier New" w:hAnsi="Courier New"/>
          <w:sz w:val="16"/>
          <w:szCs w:val="16"/>
          <w:color w:val="auto"/>
        </w:rPr>
        <w:t>By: /s/ Frank A. Carchedi</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w:t>
      </w:r>
    </w:p>
    <w:p>
      <w:pPr>
        <w:ind w:left="3900"/>
        <w:spacing w:after="0" w:line="238" w:lineRule="auto"/>
        <w:rPr>
          <w:sz w:val="20"/>
          <w:szCs w:val="20"/>
          <w:color w:val="auto"/>
        </w:rPr>
      </w:pPr>
      <w:r>
        <w:rPr>
          <w:rFonts w:ascii="Courier New" w:cs="Courier New" w:eastAsia="Courier New" w:hAnsi="Courier New"/>
          <w:sz w:val="18"/>
          <w:szCs w:val="18"/>
          <w:color w:val="auto"/>
        </w:rPr>
        <w:t>Frank A. Carchedi</w:t>
      </w:r>
    </w:p>
    <w:p>
      <w:pPr>
        <w:ind w:left="3900"/>
        <w:spacing w:after="0"/>
        <w:rPr>
          <w:sz w:val="20"/>
          <w:szCs w:val="20"/>
          <w:color w:val="auto"/>
        </w:rPr>
      </w:pPr>
      <w:r>
        <w:rPr>
          <w:rFonts w:ascii="Courier New" w:cs="Courier New" w:eastAsia="Courier New" w:hAnsi="Courier New"/>
          <w:sz w:val="18"/>
          <w:szCs w:val="18"/>
          <w:color w:val="auto"/>
        </w:rPr>
        <w:t>Chief Financial Officer</w:t>
      </w:r>
    </w:p>
    <w:p>
      <w:pPr>
        <w:spacing w:after="0" w:line="3"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(Principal Financial and Accounting Officer</w:t>
      </w:r>
    </w:p>
    <w:p>
      <w:pPr>
        <w:spacing w:after="0" w:line="1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and Duly Authorized Officer)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312"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10, 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Andrew C. Florance</w:t>
      </w:r>
    </w:p>
    <w:p>
      <w:pPr>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rPr>
          <w:sz w:val="20"/>
          <w:szCs w:val="20"/>
          <w:color w:val="auto"/>
        </w:rPr>
      </w:pPr>
      <w:r>
        <w:rPr>
          <w:rFonts w:ascii="Courier New" w:cs="Courier New" w:eastAsia="Courier New" w:hAnsi="Courier New"/>
          <w:sz w:val="18"/>
          <w:szCs w:val="18"/>
          <w:color w:val="auto"/>
        </w:rPr>
        <w:t>CoStar Group, Inc.</w:t>
      </w:r>
    </w:p>
    <w:p>
      <w:pPr>
        <w:spacing w:after="0" w:line="237" w:lineRule="auto"/>
        <w:rPr>
          <w:sz w:val="20"/>
          <w:szCs w:val="20"/>
          <w:color w:val="auto"/>
        </w:rPr>
      </w:pPr>
      <w:r>
        <w:rPr>
          <w:rFonts w:ascii="Courier New" w:cs="Courier New" w:eastAsia="Courier New" w:hAnsi="Courier New"/>
          <w:sz w:val="18"/>
          <w:szCs w:val="18"/>
          <w:color w:val="auto"/>
        </w:rPr>
        <w:t>7475 Wisconsin Avenue, Suite 600</w:t>
      </w:r>
    </w:p>
    <w:p>
      <w:pPr>
        <w:spacing w:after="0"/>
        <w:tabs>
          <w:tab w:leader="none" w:pos="1460" w:val="left"/>
        </w:tabs>
        <w:rPr>
          <w:sz w:val="20"/>
          <w:szCs w:val="20"/>
          <w:color w:val="auto"/>
        </w:rPr>
      </w:pPr>
      <w:r>
        <w:rPr>
          <w:rFonts w:ascii="Courier New" w:cs="Courier New" w:eastAsia="Courier New" w:hAnsi="Courier New"/>
          <w:sz w:val="18"/>
          <w:szCs w:val="18"/>
          <w:color w:val="auto"/>
        </w:rPr>
        <w:t>Bethesda, MD</w:t>
      </w:r>
      <w:r>
        <w:rPr>
          <w:sz w:val="20"/>
          <w:szCs w:val="20"/>
          <w:color w:val="auto"/>
        </w:rPr>
        <w:tab/>
      </w:r>
      <w:r>
        <w:rPr>
          <w:rFonts w:ascii="Courier New" w:cs="Courier New" w:eastAsia="Courier New" w:hAnsi="Courier New"/>
          <w:sz w:val="16"/>
          <w:szCs w:val="16"/>
          <w:color w:val="auto"/>
        </w:rPr>
        <w:t>20814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Andy:</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I am writing to you in reference to the settlement of the stockholder class action suit brought against COMPS.COM, Inc. ("COMPS") in connection with the Agreement and Plan of Merger, dated as of November 3, 1999 (the "Merger Agreement"), by and among COMPS, CoStar Group, Inc. ("CoStar"), and Acq Sub, Inc. Terms used herein and not otherwise defined shall have the meanings set forth in the Merger Agreement.</w:t>
      </w:r>
    </w:p>
    <w:p>
      <w:pPr>
        <w:spacing w:after="0" w:line="210" w:lineRule="exact"/>
        <w:rPr>
          <w:sz w:val="20"/>
          <w:szCs w:val="20"/>
          <w:color w:val="auto"/>
        </w:rPr>
      </w:pPr>
    </w:p>
    <w:p>
      <w:pPr>
        <w:ind w:right="2199" w:firstLine="948"/>
        <w:spacing w:after="0" w:line="290" w:lineRule="auto"/>
        <w:rPr>
          <w:sz w:val="20"/>
          <w:szCs w:val="20"/>
          <w:color w:val="auto"/>
        </w:rPr>
      </w:pPr>
      <w:r>
        <w:rPr>
          <w:rFonts w:ascii="Courier New" w:cs="Courier New" w:eastAsia="Courier New" w:hAnsi="Courier New"/>
          <w:sz w:val="16"/>
          <w:szCs w:val="16"/>
          <w:color w:val="auto"/>
        </w:rPr>
        <w:t>This letter memorializes an agreement that I understand was reached between you and Greg Avis, a member of the board of directors of COMPS.</w:t>
      </w:r>
    </w:p>
    <w:p>
      <w:pPr>
        <w:spacing w:after="0" w:line="170" w:lineRule="exact"/>
        <w:rPr>
          <w:sz w:val="20"/>
          <w:szCs w:val="20"/>
          <w:color w:val="auto"/>
        </w:rPr>
      </w:pPr>
    </w:p>
    <w:p>
      <w:pPr>
        <w:ind w:right="1879" w:firstLine="956"/>
        <w:spacing w:after="0" w:line="236" w:lineRule="auto"/>
        <w:tabs>
          <w:tab w:leader="none" w:pos="126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legal fees of plaintiffs' counsel, up to a maximum of $300,000, to be paid by COMPS, whether paid or accrued, will not be included in the calculation of the Cash Shortfall.</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26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Christopher A. Crane, Summit Investors II, L.P. and Summit Ventures, III, L.P. shall not be required, pursuant to the Pledge Agreement, dated as of November 3, 1999 (the "Pledge Agreement"), to reimburse CoStar for amounts of Cash Shortfall (up to a maximum of $500,000) between $1 million and $1.5 million (e.g. if the Cash Shortfall were $1.2 million, the reimbursable Cash Shortfall would be $1 million and if the Cash Shortfall were $1.6 million, the reimbursable Cash Shortfall would be $1.1 million ($1 million plus the excess of the actual Cash Shortfall over $1.5 million)).</w:t>
      </w:r>
    </w:p>
    <w:p>
      <w:pPr>
        <w:spacing w:after="0" w:line="212"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If the foregoing correctly sets forth our agreement, please sign and return one copy of this letter indicating your acceptance thereof.</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/s/ Christopher A. Crane</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Christopher A. Crane</w:t>
      </w:r>
    </w:p>
    <w:p>
      <w:pPr>
        <w:ind w:left="4860"/>
        <w:spacing w:after="0" w:line="238" w:lineRule="auto"/>
        <w:rPr>
          <w:sz w:val="20"/>
          <w:szCs w:val="20"/>
          <w:color w:val="auto"/>
        </w:rPr>
      </w:pPr>
      <w:r>
        <w:rPr>
          <w:rFonts w:ascii="Courier New" w:cs="Courier New" w:eastAsia="Courier New" w:hAnsi="Courier New"/>
          <w:sz w:val="18"/>
          <w:szCs w:val="18"/>
          <w:color w:val="auto"/>
        </w:rPr>
        <w:t>Chairman of the Board, President</w:t>
      </w:r>
    </w:p>
    <w:p>
      <w:pPr>
        <w:ind w:left="4860"/>
        <w:spacing w:after="0"/>
        <w:rPr>
          <w:sz w:val="20"/>
          <w:szCs w:val="20"/>
          <w:color w:val="auto"/>
        </w:rPr>
      </w:pPr>
      <w:r>
        <w:rPr>
          <w:rFonts w:ascii="Courier New" w:cs="Courier New" w:eastAsia="Courier New" w:hAnsi="Courier New"/>
          <w:sz w:val="18"/>
          <w:szCs w:val="18"/>
          <w:color w:val="auto"/>
        </w:rPr>
        <w:t>and Chief Executive Officer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ACCEPTED AND AGREED</w:t>
      </w:r>
    </w:p>
    <w:p>
      <w:pPr>
        <w:spacing w:after="0" w:line="238" w:lineRule="auto"/>
        <w:rPr>
          <w:sz w:val="20"/>
          <w:szCs w:val="20"/>
          <w:color w:val="auto"/>
        </w:rPr>
      </w:pPr>
      <w:r>
        <w:rPr>
          <w:rFonts w:ascii="Courier New" w:cs="Courier New" w:eastAsia="Courier New" w:hAnsi="Courier New"/>
          <w:sz w:val="18"/>
          <w:szCs w:val="18"/>
          <w:color w:val="auto"/>
        </w:rPr>
        <w:t>CoStar Group, Inc.</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Andrew C. Florance</w:t>
      </w:r>
    </w:p>
    <w:p>
      <w:pPr>
        <w:ind w:left="2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CEO</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960" w:right="7059" w:hanging="952"/>
        <w:spacing w:after="0" w:line="290" w:lineRule="auto"/>
        <w:tabs>
          <w:tab w:leader="none" w:pos="9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Stephen I. Glover Richard S. Chernicoff</w:t>
      </w:r>
    </w:p>
    <w:p>
      <w:pPr>
        <w:sectPr>
          <w:pgSz w:w="11900" w:h="16838" w:orient="portrait"/>
          <w:cols w:equalWidth="0" w:num="1">
            <w:col w:w="10219"/>
          </w:cols>
          <w:pgMar w:left="240" w:top="136" w:right="1440" w:bottom="1440" w:gutter="0" w:footer="0" w:header="0"/>
        </w:sectPr>
      </w:pPr>
    </w:p>
    <w:bookmarkStart w:id="17" w:name="page18"/>
    <w:bookmarkEnd w:id="17"/>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859"/>
        <w:spacing w:after="0" w:line="237" w:lineRule="auto"/>
        <w:rPr>
          <w:sz w:val="20"/>
          <w:szCs w:val="20"/>
          <w:color w:val="auto"/>
        </w:rPr>
      </w:pPr>
      <w:r>
        <w:rPr>
          <w:rFonts w:ascii="Courier New" w:cs="Courier New" w:eastAsia="Courier New" w:hAnsi="Courier New"/>
          <w:sz w:val="18"/>
          <w:szCs w:val="18"/>
          <w:color w:val="auto"/>
        </w:rPr>
        <w:t>The schedule contains summary financial information extracted from the consolidated balance sheet and statement of operations of COSTAR GROUP, INC. as of and for the three months ended March 31, 2000 and is qualified in its entirety by reference to such financial statements.</w:t>
      </w:r>
    </w:p>
    <w:p>
      <w:pPr>
        <w:spacing w:after="0" w:line="202"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3-MOS</w:t>
      </w:r>
    </w:p>
    <w:p>
      <w:pPr>
        <w:ind w:left="2700"/>
        <w:spacing w:after="0" w:line="238" w:lineRule="auto"/>
        <w:rPr>
          <w:sz w:val="20"/>
          <w:szCs w:val="20"/>
          <w:color w:val="auto"/>
        </w:rPr>
      </w:pPr>
      <w:r>
        <w:rPr>
          <w:rFonts w:ascii="Courier New" w:cs="Courier New" w:eastAsia="Courier New" w:hAnsi="Courier New"/>
          <w:sz w:val="18"/>
          <w:szCs w:val="18"/>
          <w:color w:val="auto"/>
        </w:rPr>
        <w:t>DEC-31-2000</w:t>
      </w:r>
    </w:p>
    <w:p>
      <w:pPr>
        <w:ind w:left="3240"/>
        <w:spacing w:after="0"/>
        <w:rPr>
          <w:sz w:val="20"/>
          <w:szCs w:val="20"/>
          <w:color w:val="auto"/>
        </w:rPr>
      </w:pPr>
      <w:r>
        <w:rPr>
          <w:rFonts w:ascii="Courier New" w:cs="Courier New" w:eastAsia="Courier New" w:hAnsi="Courier New"/>
          <w:sz w:val="18"/>
          <w:szCs w:val="18"/>
          <w:color w:val="auto"/>
        </w:rPr>
        <w:t>MAR-31-2000</w:t>
      </w:r>
    </w:p>
    <w:p>
      <w:pPr>
        <w:ind w:left="4400"/>
        <w:spacing w:after="0" w:line="237" w:lineRule="auto"/>
        <w:rPr>
          <w:sz w:val="20"/>
          <w:szCs w:val="20"/>
          <w:color w:val="auto"/>
        </w:rPr>
      </w:pPr>
      <w:r>
        <w:rPr>
          <w:rFonts w:ascii="Courier New" w:cs="Courier New" w:eastAsia="Courier New" w:hAnsi="Courier New"/>
          <w:sz w:val="18"/>
          <w:szCs w:val="18"/>
          <w:color w:val="auto"/>
        </w:rPr>
        <w:t>76,851</w:t>
      </w:r>
    </w:p>
    <w:p>
      <w:pPr>
        <w:ind w:left="4280"/>
        <w:spacing w:after="0" w:line="238" w:lineRule="auto"/>
        <w:rPr>
          <w:sz w:val="20"/>
          <w:szCs w:val="20"/>
          <w:color w:val="auto"/>
        </w:rPr>
      </w:pPr>
      <w:r>
        <w:rPr>
          <w:rFonts w:ascii="Courier New" w:cs="Courier New" w:eastAsia="Courier New" w:hAnsi="Courier New"/>
          <w:sz w:val="18"/>
          <w:szCs w:val="18"/>
          <w:color w:val="auto"/>
        </w:rPr>
        <w:t>0</w:t>
      </w:r>
    </w:p>
    <w:p>
      <w:pPr>
        <w:ind w:left="3760"/>
        <w:spacing w:after="0"/>
        <w:rPr>
          <w:sz w:val="20"/>
          <w:szCs w:val="20"/>
          <w:color w:val="auto"/>
        </w:rPr>
      </w:pPr>
      <w:r>
        <w:rPr>
          <w:rFonts w:ascii="Courier New" w:cs="Courier New" w:eastAsia="Courier New" w:hAnsi="Courier New"/>
          <w:sz w:val="18"/>
          <w:szCs w:val="18"/>
          <w:color w:val="auto"/>
        </w:rPr>
        <w:t>9,880</w:t>
      </w:r>
    </w:p>
    <w:p>
      <w:pPr>
        <w:ind w:left="4080"/>
        <w:spacing w:after="0" w:line="237" w:lineRule="auto"/>
        <w:rPr>
          <w:sz w:val="20"/>
          <w:szCs w:val="20"/>
          <w:color w:val="auto"/>
        </w:rPr>
      </w:pPr>
      <w:r>
        <w:rPr>
          <w:rFonts w:ascii="Courier New" w:cs="Courier New" w:eastAsia="Courier New" w:hAnsi="Courier New"/>
          <w:sz w:val="18"/>
          <w:szCs w:val="18"/>
          <w:color w:val="auto"/>
        </w:rPr>
        <w:t>993</w:t>
      </w:r>
    </w:p>
    <w:p>
      <w:pPr>
        <w:ind w:left="4400"/>
        <w:spacing w:after="0"/>
        <w:rPr>
          <w:sz w:val="20"/>
          <w:szCs w:val="20"/>
          <w:color w:val="auto"/>
        </w:rPr>
      </w:pPr>
      <w:r>
        <w:rPr>
          <w:rFonts w:ascii="Courier New" w:cs="Courier New" w:eastAsia="Courier New" w:hAnsi="Courier New"/>
          <w:sz w:val="18"/>
          <w:szCs w:val="18"/>
          <w:color w:val="auto"/>
        </w:rPr>
        <w:t>0</w:t>
      </w:r>
    </w:p>
    <w:p>
      <w:pPr>
        <w:ind w:left="3340"/>
        <w:spacing w:after="0" w:line="237" w:lineRule="auto"/>
        <w:rPr>
          <w:sz w:val="20"/>
          <w:szCs w:val="20"/>
          <w:color w:val="auto"/>
        </w:rPr>
      </w:pPr>
      <w:r>
        <w:rPr>
          <w:rFonts w:ascii="Courier New" w:cs="Courier New" w:eastAsia="Courier New" w:hAnsi="Courier New"/>
          <w:sz w:val="18"/>
          <w:szCs w:val="18"/>
          <w:color w:val="auto"/>
        </w:rPr>
        <w:t>90,695</w:t>
      </w:r>
    </w:p>
    <w:p>
      <w:pPr>
        <w:ind w:left="4400"/>
        <w:spacing w:after="0"/>
        <w:rPr>
          <w:sz w:val="20"/>
          <w:szCs w:val="20"/>
          <w:color w:val="auto"/>
        </w:rPr>
      </w:pPr>
      <w:r>
        <w:rPr>
          <w:rFonts w:ascii="Courier New" w:cs="Courier New" w:eastAsia="Courier New" w:hAnsi="Courier New"/>
          <w:sz w:val="18"/>
          <w:szCs w:val="18"/>
          <w:color w:val="auto"/>
        </w:rPr>
        <w:t>14,294</w:t>
      </w:r>
    </w:p>
    <w:p>
      <w:pPr>
        <w:ind w:left="3660"/>
        <w:spacing w:after="0" w:line="237" w:lineRule="auto"/>
        <w:rPr>
          <w:sz w:val="20"/>
          <w:szCs w:val="20"/>
          <w:color w:val="auto"/>
        </w:rPr>
      </w:pPr>
      <w:r>
        <w:rPr>
          <w:rFonts w:ascii="Courier New" w:cs="Courier New" w:eastAsia="Courier New" w:hAnsi="Courier New"/>
          <w:sz w:val="18"/>
          <w:szCs w:val="18"/>
          <w:color w:val="auto"/>
        </w:rPr>
        <w:t>2,821</w:t>
      </w:r>
    </w:p>
    <w:p>
      <w:pPr>
        <w:ind w:left="3440"/>
        <w:spacing w:after="0" w:line="238" w:lineRule="auto"/>
        <w:rPr>
          <w:sz w:val="20"/>
          <w:szCs w:val="20"/>
          <w:color w:val="auto"/>
        </w:rPr>
      </w:pPr>
      <w:r>
        <w:rPr>
          <w:rFonts w:ascii="Courier New" w:cs="Courier New" w:eastAsia="Courier New" w:hAnsi="Courier New"/>
          <w:sz w:val="18"/>
          <w:szCs w:val="18"/>
          <w:color w:val="auto"/>
        </w:rPr>
        <w:t>204,352</w:t>
      </w:r>
    </w:p>
    <w:p>
      <w:pPr>
        <w:ind w:left="2820"/>
        <w:spacing w:after="0"/>
        <w:rPr>
          <w:sz w:val="20"/>
          <w:szCs w:val="20"/>
          <w:color w:val="auto"/>
        </w:rPr>
      </w:pPr>
      <w:r>
        <w:rPr>
          <w:rFonts w:ascii="Courier New" w:cs="Courier New" w:eastAsia="Courier New" w:hAnsi="Courier New"/>
          <w:sz w:val="18"/>
          <w:szCs w:val="18"/>
          <w:color w:val="auto"/>
        </w:rPr>
        <w:t>24,161</w:t>
      </w:r>
    </w:p>
    <w:p>
      <w:pPr>
        <w:jc w:val="center"/>
        <w:ind w:right="439"/>
        <w:spacing w:after="0" w:line="237" w:lineRule="auto"/>
        <w:rPr>
          <w:sz w:val="20"/>
          <w:szCs w:val="20"/>
          <w:color w:val="auto"/>
        </w:rPr>
      </w:pPr>
      <w:r>
        <w:rPr>
          <w:rFonts w:ascii="Courier New" w:cs="Courier New" w:eastAsia="Courier New" w:hAnsi="Courier New"/>
          <w:sz w:val="18"/>
          <w:szCs w:val="18"/>
          <w:color w:val="auto"/>
        </w:rPr>
        <w:t>0</w:t>
      </w:r>
    </w:p>
    <w:p>
      <w:pPr>
        <w:ind w:left="3340"/>
        <w:spacing w:after="0"/>
        <w:rPr>
          <w:sz w:val="20"/>
          <w:szCs w:val="20"/>
          <w:color w:val="auto"/>
        </w:rPr>
      </w:pPr>
      <w:r>
        <w:rPr>
          <w:rFonts w:ascii="Courier New" w:cs="Courier New" w:eastAsia="Courier New" w:hAnsi="Courier New"/>
          <w:sz w:val="18"/>
          <w:szCs w:val="18"/>
          <w:color w:val="auto"/>
        </w:rPr>
        <w:t>0</w:t>
      </w:r>
    </w:p>
    <w:p>
      <w:pPr>
        <w:ind w:left="4400"/>
        <w:spacing w:after="0" w:line="237" w:lineRule="auto"/>
        <w:rPr>
          <w:sz w:val="20"/>
          <w:szCs w:val="20"/>
          <w:color w:val="auto"/>
        </w:rPr>
      </w:pPr>
      <w:r>
        <w:rPr>
          <w:rFonts w:ascii="Courier New" w:cs="Courier New" w:eastAsia="Courier New" w:hAnsi="Courier New"/>
          <w:sz w:val="18"/>
          <w:szCs w:val="18"/>
          <w:color w:val="auto"/>
        </w:rPr>
        <w:t>0</w:t>
      </w:r>
    </w:p>
    <w:p>
      <w:pPr>
        <w:ind w:left="4500"/>
        <w:spacing w:after="0"/>
        <w:rPr>
          <w:sz w:val="20"/>
          <w:szCs w:val="20"/>
          <w:color w:val="auto"/>
        </w:rPr>
      </w:pPr>
      <w:r>
        <w:rPr>
          <w:rFonts w:ascii="Courier New" w:cs="Courier New" w:eastAsia="Courier New" w:hAnsi="Courier New"/>
          <w:sz w:val="18"/>
          <w:szCs w:val="18"/>
          <w:color w:val="auto"/>
        </w:rPr>
        <w:t>154</w:t>
      </w:r>
    </w:p>
    <w:p>
      <w:pPr>
        <w:ind w:left="3860"/>
        <w:spacing w:after="0" w:line="237" w:lineRule="auto"/>
        <w:rPr>
          <w:sz w:val="20"/>
          <w:szCs w:val="20"/>
          <w:color w:val="auto"/>
        </w:rPr>
      </w:pPr>
      <w:r>
        <w:rPr>
          <w:rFonts w:ascii="Courier New" w:cs="Courier New" w:eastAsia="Courier New" w:hAnsi="Courier New"/>
          <w:sz w:val="18"/>
          <w:szCs w:val="18"/>
          <w:color w:val="auto"/>
        </w:rPr>
        <w:t>159,162</w:t>
      </w:r>
    </w:p>
    <w:p>
      <w:pPr>
        <w:ind w:left="1960"/>
        <w:spacing w:after="0" w:line="238" w:lineRule="auto"/>
        <w:rPr>
          <w:sz w:val="20"/>
          <w:szCs w:val="20"/>
          <w:color w:val="auto"/>
        </w:rPr>
      </w:pPr>
      <w:r>
        <w:rPr>
          <w:rFonts w:ascii="Courier New" w:cs="Courier New" w:eastAsia="Courier New" w:hAnsi="Courier New"/>
          <w:sz w:val="18"/>
          <w:szCs w:val="18"/>
          <w:color w:val="auto"/>
        </w:rPr>
        <w:t>204,352</w:t>
      </w:r>
    </w:p>
    <w:p>
      <w:pPr>
        <w:jc w:val="center"/>
        <w:ind w:right="439"/>
        <w:spacing w:after="0"/>
        <w:rPr>
          <w:sz w:val="20"/>
          <w:szCs w:val="20"/>
          <w:color w:val="auto"/>
        </w:rPr>
      </w:pPr>
      <w:r>
        <w:rPr>
          <w:rFonts w:ascii="Courier New" w:cs="Courier New" w:eastAsia="Courier New" w:hAnsi="Courier New"/>
          <w:sz w:val="18"/>
          <w:szCs w:val="18"/>
          <w:color w:val="auto"/>
        </w:rPr>
        <w:t>0</w:t>
      </w:r>
    </w:p>
    <w:p>
      <w:pPr>
        <w:ind w:left="3340"/>
        <w:spacing w:after="0" w:line="237" w:lineRule="auto"/>
        <w:rPr>
          <w:sz w:val="20"/>
          <w:szCs w:val="20"/>
          <w:color w:val="auto"/>
        </w:rPr>
      </w:pPr>
      <w:r>
        <w:rPr>
          <w:rFonts w:ascii="Courier New" w:cs="Courier New" w:eastAsia="Courier New" w:hAnsi="Courier New"/>
          <w:sz w:val="18"/>
          <w:szCs w:val="18"/>
          <w:color w:val="auto"/>
        </w:rPr>
        <w:t>11,372</w:t>
      </w:r>
    </w:p>
    <w:p>
      <w:pPr>
        <w:jc w:val="center"/>
        <w:ind w:right="19"/>
        <w:spacing w:after="0"/>
        <w:rPr>
          <w:sz w:val="20"/>
          <w:szCs w:val="20"/>
          <w:color w:val="auto"/>
        </w:rPr>
      </w:pPr>
      <w:r>
        <w:rPr>
          <w:rFonts w:ascii="Courier New" w:cs="Courier New" w:eastAsia="Courier New" w:hAnsi="Courier New"/>
          <w:sz w:val="18"/>
          <w:szCs w:val="18"/>
          <w:color w:val="auto"/>
        </w:rPr>
        <w:t>0</w:t>
      </w:r>
    </w:p>
    <w:p>
      <w:pPr>
        <w:ind w:left="3760"/>
        <w:spacing w:after="0" w:line="237" w:lineRule="auto"/>
        <w:rPr>
          <w:sz w:val="20"/>
          <w:szCs w:val="20"/>
          <w:color w:val="auto"/>
        </w:rPr>
      </w:pPr>
      <w:r>
        <w:rPr>
          <w:rFonts w:ascii="Courier New" w:cs="Courier New" w:eastAsia="Courier New" w:hAnsi="Courier New"/>
          <w:sz w:val="18"/>
          <w:szCs w:val="18"/>
          <w:color w:val="auto"/>
        </w:rPr>
        <w:t>5,977</w:t>
      </w:r>
    </w:p>
    <w:p>
      <w:pPr>
        <w:ind w:left="3340"/>
        <w:spacing w:after="0"/>
        <w:rPr>
          <w:sz w:val="20"/>
          <w:szCs w:val="20"/>
          <w:color w:val="auto"/>
        </w:rPr>
      </w:pPr>
      <w:r>
        <w:rPr>
          <w:rFonts w:ascii="Courier New" w:cs="Courier New" w:eastAsia="Courier New" w:hAnsi="Courier New"/>
          <w:sz w:val="18"/>
          <w:szCs w:val="18"/>
          <w:color w:val="auto"/>
        </w:rPr>
        <w:t>22,090</w:t>
      </w:r>
    </w:p>
    <w:p>
      <w:pPr>
        <w:ind w:left="3660"/>
        <w:spacing w:after="0" w:line="237" w:lineRule="auto"/>
        <w:rPr>
          <w:sz w:val="20"/>
          <w:szCs w:val="20"/>
          <w:color w:val="auto"/>
        </w:rPr>
      </w:pPr>
      <w:r>
        <w:rPr>
          <w:rFonts w:ascii="Courier New" w:cs="Courier New" w:eastAsia="Courier New" w:hAnsi="Courier New"/>
          <w:sz w:val="18"/>
          <w:szCs w:val="18"/>
          <w:color w:val="auto"/>
        </w:rPr>
        <w:t>237</w:t>
      </w:r>
    </w:p>
    <w:p>
      <w:pPr>
        <w:ind w:left="3660"/>
        <w:spacing w:after="0"/>
        <w:rPr>
          <w:sz w:val="20"/>
          <w:szCs w:val="20"/>
          <w:color w:val="auto"/>
        </w:rPr>
      </w:pPr>
      <w:r>
        <w:rPr>
          <w:rFonts w:ascii="Courier New" w:cs="Courier New" w:eastAsia="Courier New" w:hAnsi="Courier New"/>
          <w:sz w:val="18"/>
          <w:szCs w:val="18"/>
          <w:color w:val="auto"/>
        </w:rPr>
        <w:t>0</w:t>
      </w:r>
    </w:p>
    <w:p>
      <w:pPr>
        <w:ind w:left="3240"/>
        <w:spacing w:after="0" w:line="237" w:lineRule="auto"/>
        <w:rPr>
          <w:sz w:val="20"/>
          <w:szCs w:val="20"/>
          <w:color w:val="auto"/>
        </w:rPr>
      </w:pPr>
      <w:r>
        <w:rPr>
          <w:rFonts w:ascii="Courier New" w:cs="Courier New" w:eastAsia="Courier New" w:hAnsi="Courier New"/>
          <w:sz w:val="18"/>
          <w:szCs w:val="18"/>
          <w:color w:val="auto"/>
        </w:rPr>
        <w:t>(16,695)</w:t>
      </w:r>
    </w:p>
    <w:p>
      <w:pPr>
        <w:ind w:left="3860"/>
        <w:spacing w:after="0" w:line="238" w:lineRule="auto"/>
        <w:rPr>
          <w:sz w:val="20"/>
          <w:szCs w:val="20"/>
          <w:color w:val="auto"/>
        </w:rPr>
      </w:pPr>
      <w:r>
        <w:rPr>
          <w:rFonts w:ascii="Courier New" w:cs="Courier New" w:eastAsia="Courier New" w:hAnsi="Courier New"/>
          <w:sz w:val="18"/>
          <w:szCs w:val="18"/>
          <w:color w:val="auto"/>
        </w:rPr>
        <w:t>(565)</w:t>
      </w:r>
    </w:p>
    <w:p>
      <w:pPr>
        <w:ind w:left="2820"/>
        <w:spacing w:after="0"/>
        <w:rPr>
          <w:sz w:val="20"/>
          <w:szCs w:val="20"/>
          <w:color w:val="auto"/>
        </w:rPr>
      </w:pPr>
      <w:r>
        <w:rPr>
          <w:rFonts w:ascii="Courier New" w:cs="Courier New" w:eastAsia="Courier New" w:hAnsi="Courier New"/>
          <w:sz w:val="18"/>
          <w:szCs w:val="18"/>
          <w:color w:val="auto"/>
        </w:rPr>
        <w:t>(15,104)</w:t>
      </w:r>
    </w:p>
    <w:p>
      <w:pPr>
        <w:ind w:left="4080"/>
        <w:spacing w:after="0" w:line="237" w:lineRule="auto"/>
        <w:rPr>
          <w:sz w:val="20"/>
          <w:szCs w:val="20"/>
          <w:color w:val="auto"/>
        </w:rPr>
      </w:pPr>
      <w:r>
        <w:rPr>
          <w:rFonts w:ascii="Courier New" w:cs="Courier New" w:eastAsia="Courier New" w:hAnsi="Courier New"/>
          <w:sz w:val="18"/>
          <w:szCs w:val="18"/>
          <w:color w:val="auto"/>
        </w:rPr>
        <w:t>0</w:t>
      </w:r>
    </w:p>
    <w:p>
      <w:pPr>
        <w:ind w:left="3980"/>
        <w:spacing w:after="0"/>
        <w:rPr>
          <w:sz w:val="20"/>
          <w:szCs w:val="20"/>
          <w:color w:val="auto"/>
        </w:rPr>
      </w:pPr>
      <w:r>
        <w:rPr>
          <w:rFonts w:ascii="Courier New" w:cs="Courier New" w:eastAsia="Courier New" w:hAnsi="Courier New"/>
          <w:sz w:val="18"/>
          <w:szCs w:val="18"/>
          <w:color w:val="auto"/>
        </w:rPr>
        <w:t>0</w:t>
      </w:r>
    </w:p>
    <w:p>
      <w:pPr>
        <w:ind w:left="4600"/>
        <w:spacing w:after="0" w:line="237" w:lineRule="auto"/>
        <w:rPr>
          <w:sz w:val="20"/>
          <w:szCs w:val="20"/>
          <w:color w:val="auto"/>
        </w:rPr>
      </w:pPr>
      <w:r>
        <w:rPr>
          <w:rFonts w:ascii="Courier New" w:cs="Courier New" w:eastAsia="Courier New" w:hAnsi="Courier New"/>
          <w:sz w:val="18"/>
          <w:szCs w:val="18"/>
          <w:color w:val="auto"/>
        </w:rPr>
        <w:t>0</w:t>
      </w:r>
    </w:p>
    <w:p>
      <w:pPr>
        <w:ind w:left="3540"/>
        <w:spacing w:after="0"/>
        <w:rPr>
          <w:sz w:val="20"/>
          <w:szCs w:val="20"/>
          <w:color w:val="auto"/>
        </w:rPr>
      </w:pPr>
      <w:r>
        <w:rPr>
          <w:rFonts w:ascii="Courier New" w:cs="Courier New" w:eastAsia="Courier New" w:hAnsi="Courier New"/>
          <w:sz w:val="18"/>
          <w:szCs w:val="18"/>
          <w:color w:val="auto"/>
        </w:rPr>
        <w:t>(15,104)</w:t>
      </w:r>
    </w:p>
    <w:p>
      <w:pPr>
        <w:ind w:left="3860"/>
        <w:spacing w:after="0" w:line="237" w:lineRule="auto"/>
        <w:rPr>
          <w:sz w:val="20"/>
          <w:szCs w:val="20"/>
          <w:color w:val="auto"/>
        </w:rPr>
      </w:pPr>
      <w:r>
        <w:rPr>
          <w:rFonts w:ascii="Courier New" w:cs="Courier New" w:eastAsia="Courier New" w:hAnsi="Courier New"/>
          <w:sz w:val="18"/>
          <w:szCs w:val="18"/>
          <w:color w:val="auto"/>
        </w:rPr>
        <w:t>(1.06)</w:t>
      </w:r>
    </w:p>
    <w:p>
      <w:pPr>
        <w:ind w:left="3660"/>
        <w:spacing w:after="0" w:line="238" w:lineRule="auto"/>
        <w:rPr>
          <w:sz w:val="20"/>
          <w:szCs w:val="20"/>
          <w:color w:val="auto"/>
        </w:rPr>
      </w:pPr>
      <w:r>
        <w:rPr>
          <w:rFonts w:ascii="Courier New" w:cs="Courier New" w:eastAsia="Courier New" w:hAnsi="Courier New"/>
          <w:sz w:val="18"/>
          <w:szCs w:val="18"/>
          <w:color w:val="auto"/>
        </w:rPr>
        <w:t>(1.06)</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2019-12-11T20:11:27Z</dcterms:created>
  <dcterms:modified xsi:type="dcterms:W3CDTF">2019-12-11T20:11:27Z</dcterms:modified>
</cp:coreProperties>
</file>